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3C" w:rsidRPr="00767B3C" w:rsidRDefault="00767B3C" w:rsidP="00767B3C">
      <w:pPr>
        <w:tabs>
          <w:tab w:val="left" w:pos="3135"/>
        </w:tabs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  <w:bookmarkStart w:id="0" w:name="_Toc456781595"/>
      <w:bookmarkStart w:id="1" w:name="_GoBack"/>
      <w:bookmarkEnd w:id="1"/>
      <w:r w:rsidRPr="00767B3C">
        <w:rPr>
          <w:rFonts w:ascii="Times New Roman" w:hAnsi="Times New Roman" w:cs="Times New Roman"/>
          <w:b/>
          <w:noProof/>
          <w:color w:val="808080" w:themeColor="background1" w:themeShade="80"/>
          <w:sz w:val="28"/>
          <w:szCs w:val="28"/>
          <w:lang w:eastAsia="sl-SI"/>
        </w:rPr>
        <w:drawing>
          <wp:anchor distT="0" distB="0" distL="114300" distR="114300" simplePos="0" relativeHeight="251659264" behindDoc="1" locked="0" layoutInCell="1" allowOverlap="1" wp14:anchorId="6411C174" wp14:editId="18376C8A">
            <wp:simplePos x="0" y="0"/>
            <wp:positionH relativeFrom="column">
              <wp:posOffset>3969385</wp:posOffset>
            </wp:positionH>
            <wp:positionV relativeFrom="paragraph">
              <wp:posOffset>-52070</wp:posOffset>
            </wp:positionV>
            <wp:extent cx="1588135" cy="847725"/>
            <wp:effectExtent l="0" t="0" r="0" b="9525"/>
            <wp:wrapThrough wrapText="bothSides">
              <wp:wrapPolygon edited="0">
                <wp:start x="0" y="0"/>
                <wp:lineTo x="0" y="21357"/>
                <wp:lineTo x="21246" y="21357"/>
                <wp:lineTo x="21246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kc-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13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7B3C">
        <w:rPr>
          <w:rFonts w:ascii="Times New Roman" w:hAnsi="Times New Roman" w:cs="Times New Roman"/>
          <w:noProof/>
          <w:color w:val="808080" w:themeColor="background1" w:themeShade="80"/>
          <w:sz w:val="24"/>
          <w:lang w:eastAsia="sl-SI"/>
        </w:rPr>
        <w:drawing>
          <wp:inline distT="0" distB="0" distL="0" distR="0" wp14:anchorId="214BA51B" wp14:editId="6E09AE69">
            <wp:extent cx="1645920" cy="104838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7B3C">
        <w:rPr>
          <w:rFonts w:ascii="Times New Roman" w:hAnsi="Times New Roman" w:cs="Times New Roman"/>
          <w:color w:val="808080" w:themeColor="background1" w:themeShade="80"/>
          <w:sz w:val="24"/>
        </w:rPr>
        <w:tab/>
        <w:t xml:space="preserve">                                            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48"/>
          <w:szCs w:val="48"/>
        </w:rPr>
      </w:pPr>
      <w:r w:rsidRPr="00767B3C">
        <w:rPr>
          <w:rFonts w:ascii="Times New Roman" w:hAnsi="Times New Roman" w:cs="Times New Roman"/>
          <w:b/>
          <w:color w:val="7F7F7F" w:themeColor="text1" w:themeTint="80"/>
          <w:sz w:val="48"/>
          <w:szCs w:val="48"/>
        </w:rPr>
        <w:t xml:space="preserve">PLAN DELA KNJIŽNICE IN </w:t>
      </w: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b/>
          <w:color w:val="7F7F7F" w:themeColor="text1" w:themeTint="80"/>
          <w:sz w:val="48"/>
          <w:szCs w:val="48"/>
        </w:rPr>
      </w:pPr>
      <w:r w:rsidRPr="00767B3C">
        <w:rPr>
          <w:rFonts w:ascii="Times New Roman" w:hAnsi="Times New Roman" w:cs="Times New Roman"/>
          <w:b/>
          <w:color w:val="7F7F7F" w:themeColor="text1" w:themeTint="80"/>
          <w:sz w:val="48"/>
          <w:szCs w:val="48"/>
        </w:rPr>
        <w:t>OE IPAVČEV KULTURNI CENTER ŠENTJUR ZA LETO 20</w:t>
      </w:r>
      <w:r w:rsidR="008E3223">
        <w:rPr>
          <w:rFonts w:ascii="Times New Roman" w:hAnsi="Times New Roman" w:cs="Times New Roman"/>
          <w:b/>
          <w:color w:val="7F7F7F" w:themeColor="text1" w:themeTint="80"/>
          <w:sz w:val="48"/>
          <w:szCs w:val="48"/>
        </w:rPr>
        <w:t>21</w:t>
      </w:r>
      <w:r w:rsidRPr="00767B3C">
        <w:rPr>
          <w:rFonts w:ascii="Times New Roman" w:hAnsi="Times New Roman" w:cs="Times New Roman"/>
          <w:b/>
          <w:color w:val="7F7F7F" w:themeColor="text1" w:themeTint="80"/>
          <w:sz w:val="48"/>
          <w:szCs w:val="48"/>
        </w:rPr>
        <w:t xml:space="preserve">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4"/>
        </w:rPr>
      </w:pP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/>
        <w:jc w:val="center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</w:rPr>
        <w:t>SPREJETO NA SEJI SVETA, _____________</w:t>
      </w: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767B3C" w:rsidRPr="00767B3C" w:rsidTr="00767B3C">
        <w:tc>
          <w:tcPr>
            <w:tcW w:w="4786" w:type="dxa"/>
          </w:tcPr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767B3C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Direktorica:</w:t>
            </w:r>
          </w:p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767B3C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Tatjana Oset</w:t>
            </w:r>
          </w:p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767B3C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____________________</w:t>
            </w:r>
          </w:p>
          <w:p w:rsidR="00767B3C" w:rsidRPr="00767B3C" w:rsidRDefault="00767B3C" w:rsidP="00767B3C">
            <w:pPr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</w:tc>
        <w:tc>
          <w:tcPr>
            <w:tcW w:w="4394" w:type="dxa"/>
          </w:tcPr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767B3C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Predsednica Sveta JZ:</w:t>
            </w:r>
          </w:p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767B3C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Mira Jazbec</w:t>
            </w:r>
          </w:p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</w:p>
          <w:p w:rsidR="00767B3C" w:rsidRPr="00767B3C" w:rsidRDefault="00767B3C" w:rsidP="00767B3C">
            <w:pPr>
              <w:jc w:val="center"/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</w:pPr>
            <w:r w:rsidRPr="00767B3C">
              <w:rPr>
                <w:rFonts w:ascii="Times New Roman" w:hAnsi="Times New Roman" w:cs="Times New Roman"/>
                <w:color w:val="7F7F7F" w:themeColor="text1" w:themeTint="80"/>
                <w:sz w:val="28"/>
                <w:szCs w:val="28"/>
              </w:rPr>
              <w:t>____________________</w:t>
            </w:r>
          </w:p>
        </w:tc>
      </w:tr>
    </w:tbl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767B3C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Šentjur, februar 20</w:t>
      </w:r>
      <w:r w:rsidR="008E3223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21</w:t>
      </w:r>
    </w:p>
    <w:p w:rsidR="00767B3C" w:rsidRPr="00767B3C" w:rsidRDefault="00767B3C" w:rsidP="00767B3C">
      <w:pPr>
        <w:spacing w:after="0" w:line="360" w:lineRule="auto"/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</w:pPr>
      <w:r w:rsidRPr="00767B3C">
        <w:rPr>
          <w:rFonts w:ascii="Times New Roman" w:hAnsi="Times New Roman" w:cs="Times New Roman"/>
          <w:b/>
          <w:color w:val="7F7F7F" w:themeColor="text1" w:themeTint="80"/>
          <w:sz w:val="28"/>
          <w:szCs w:val="28"/>
        </w:rPr>
        <w:lastRenderedPageBreak/>
        <w:t>KAZALO</w:t>
      </w:r>
    </w:p>
    <w:p w:rsidR="00767B3C" w:rsidRPr="00767B3C" w:rsidRDefault="00767B3C" w:rsidP="00767B3C">
      <w:pPr>
        <w:tabs>
          <w:tab w:val="left" w:pos="480"/>
          <w:tab w:val="right" w:leader="underscore" w:pos="9062"/>
        </w:tabs>
        <w:spacing w:before="120"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r w:rsidRPr="00767B3C">
        <w:rPr>
          <w:rFonts w:ascii="Times New Roman" w:hAnsi="Times New Roman" w:cs="Times New Roman"/>
          <w:b/>
          <w:bCs/>
          <w:iCs/>
          <w:color w:val="7F7F7F" w:themeColor="text1" w:themeTint="80"/>
          <w:sz w:val="24"/>
          <w:szCs w:val="24"/>
        </w:rPr>
        <w:fldChar w:fldCharType="begin"/>
      </w:r>
      <w:r w:rsidRPr="00767B3C">
        <w:rPr>
          <w:rFonts w:ascii="Times New Roman" w:hAnsi="Times New Roman" w:cs="Times New Roman"/>
          <w:b/>
          <w:bCs/>
          <w:iCs/>
          <w:color w:val="7F7F7F" w:themeColor="text1" w:themeTint="80"/>
          <w:sz w:val="24"/>
          <w:szCs w:val="24"/>
        </w:rPr>
        <w:instrText xml:space="preserve"> TOC \o "1-3" \h \z \u </w:instrText>
      </w:r>
      <w:r w:rsidRPr="00767B3C">
        <w:rPr>
          <w:rFonts w:ascii="Times New Roman" w:hAnsi="Times New Roman" w:cs="Times New Roman"/>
          <w:b/>
          <w:bCs/>
          <w:iCs/>
          <w:color w:val="7F7F7F" w:themeColor="text1" w:themeTint="80"/>
          <w:sz w:val="24"/>
          <w:szCs w:val="24"/>
        </w:rPr>
        <w:fldChar w:fldCharType="separate"/>
      </w:r>
      <w:hyperlink w:anchor="_Toc484153496" w:history="1">
        <w:r w:rsidRPr="00767B3C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FF"/>
            <w:sz w:val="24"/>
            <w:szCs w:val="24"/>
            <w:u w:val="single"/>
            <w:lang w:eastAsia="ar-SA"/>
          </w:rPr>
          <w:t>1</w:t>
        </w:r>
        <w:r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Pr="00767B3C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FF"/>
            <w:sz w:val="24"/>
            <w:szCs w:val="24"/>
            <w:u w:val="single"/>
            <w:lang w:eastAsia="ar-SA"/>
          </w:rPr>
          <w:t xml:space="preserve">ZAKONSKE PODLAGE IN </w:t>
        </w:r>
        <w:r w:rsidRPr="00767B3C">
          <w:rPr>
            <w:rFonts w:ascii="Times New Roman" w:hAnsi="Times New Roman" w:cs="Times New Roman"/>
            <w:b/>
            <w:bCs/>
            <w:i/>
            <w:iCs/>
            <w:noProof/>
            <w:color w:val="0000FF"/>
            <w:sz w:val="24"/>
            <w:szCs w:val="24"/>
            <w:u w:val="single"/>
          </w:rPr>
          <w:t>OSNOVNA</w:t>
        </w:r>
        <w:r w:rsidRPr="00767B3C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FF"/>
            <w:sz w:val="24"/>
            <w:szCs w:val="24"/>
            <w:u w:val="single"/>
            <w:lang w:eastAsia="ar-SA"/>
          </w:rPr>
          <w:t xml:space="preserve"> IZHODIŠČA</w:t>
        </w:r>
        <w:r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tab/>
        </w:r>
        <w:r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_Toc484153496 \h </w:instrText>
        </w:r>
        <w:r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</w:r>
        <w:r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t>1</w:t>
        </w:r>
        <w:r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960"/>
          <w:tab w:val="right" w:leader="underscore" w:pos="9062"/>
        </w:tabs>
        <w:spacing w:before="120" w:after="0" w:line="360" w:lineRule="auto"/>
        <w:ind w:left="24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497" w:history="1"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1.1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Zakonske podlage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_Toc484153497 \h </w:instrTex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>1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960"/>
          <w:tab w:val="right" w:leader="underscore" w:pos="9062"/>
        </w:tabs>
        <w:spacing w:before="120" w:after="0" w:line="360" w:lineRule="auto"/>
        <w:ind w:left="24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498" w:history="1"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1.2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Osnovna izhodišča za sesta</w:t>
        </w:r>
        <w:r w:rsid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vo finančnega načrta za leto 2020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_Toc484153498 \h </w:instrTex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>2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480"/>
          <w:tab w:val="right" w:leader="underscore" w:pos="9062"/>
        </w:tabs>
        <w:spacing w:before="120"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499" w:history="1">
        <w:r w:rsidR="00767B3C" w:rsidRPr="00767B3C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FF"/>
            <w:sz w:val="24"/>
            <w:szCs w:val="24"/>
            <w:u w:val="single"/>
            <w:lang w:eastAsia="ar-SA"/>
          </w:rPr>
          <w:t>2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FF"/>
            <w:sz w:val="24"/>
            <w:szCs w:val="24"/>
            <w:u w:val="single"/>
            <w:lang w:eastAsia="ar-SA"/>
          </w:rPr>
          <w:t>CILJI KNJIŽNICE ŠENTJUR ZA LETO 20</w:t>
        </w:r>
        <w:r w:rsidR="00767B3C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FF"/>
            <w:sz w:val="24"/>
            <w:szCs w:val="24"/>
            <w:u w:val="single"/>
            <w:lang w:eastAsia="ar-SA"/>
          </w:rPr>
          <w:t>20</w:t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_Toc484153499 \h </w:instrText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t>3</w:t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960"/>
          <w:tab w:val="right" w:leader="underscore" w:pos="9062"/>
        </w:tabs>
        <w:spacing w:before="120" w:after="0" w:line="360" w:lineRule="auto"/>
        <w:ind w:left="24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00" w:history="1"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2.1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Redna dejavnost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_Toc484153500 \h </w:instrTex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>3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1200"/>
          <w:tab w:val="right" w:leader="underscore" w:pos="9062"/>
        </w:tabs>
        <w:spacing w:after="0" w:line="360" w:lineRule="auto"/>
        <w:ind w:left="48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01" w:history="1"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2.1.1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Nakup knjižničnega gradiva s sredstvi Občine Šentjur, Občine Dobje, MK RS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_Toc484153501 \h </w:instrTex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3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1200"/>
          <w:tab w:val="right" w:leader="underscore" w:pos="9062"/>
        </w:tabs>
        <w:spacing w:after="0" w:line="360" w:lineRule="auto"/>
        <w:ind w:left="48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02" w:history="1"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2.1.2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Strokovna obdelava gradiva,  dostopnost knjižničnega gradiva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_Toc484153502 \h </w:instrTex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3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1200"/>
          <w:tab w:val="right" w:leader="underscore" w:pos="9062"/>
        </w:tabs>
        <w:spacing w:after="0" w:line="360" w:lineRule="auto"/>
        <w:ind w:left="48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03" w:history="1"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2.1.3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COBISS/3 Izposoja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_Toc484153503 \h </w:instrTex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4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1200"/>
          <w:tab w:val="right" w:leader="underscore" w:pos="9062"/>
        </w:tabs>
        <w:spacing w:after="0" w:line="360" w:lineRule="auto"/>
        <w:ind w:left="48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04" w:history="1"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2.1.4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Dostopnost storitev knjižnice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_Toc484153504 \h </w:instrTex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4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1200"/>
          <w:tab w:val="right" w:leader="underscore" w:pos="9062"/>
        </w:tabs>
        <w:spacing w:after="0" w:line="360" w:lineRule="auto"/>
        <w:ind w:left="48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05" w:history="1"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2.1.5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Medknjižnična izposoja gradiva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_Toc484153505 \h </w:instrTex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4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1200"/>
          <w:tab w:val="right" w:leader="underscore" w:pos="9062"/>
        </w:tabs>
        <w:spacing w:after="0" w:line="360" w:lineRule="auto"/>
        <w:ind w:left="48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06" w:history="1"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2.1.6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Kadrovski načrt  in strokovno izobraževanje zaposlenih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_Toc484153506 \h </w:instrTex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5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1200"/>
          <w:tab w:val="right" w:leader="underscore" w:pos="9062"/>
        </w:tabs>
        <w:spacing w:after="0" w:line="360" w:lineRule="auto"/>
        <w:ind w:left="48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07" w:history="1"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2.1.7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Izvajanje oblik bralne kulture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_Toc484153507 \h </w:instrTex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6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1200"/>
          <w:tab w:val="right" w:leader="underscore" w:pos="9062"/>
        </w:tabs>
        <w:spacing w:after="0" w:line="360" w:lineRule="auto"/>
        <w:ind w:left="48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08" w:history="1"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2.1.8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noProof/>
            <w:color w:val="0000FF"/>
            <w:sz w:val="24"/>
            <w:szCs w:val="24"/>
            <w:u w:val="single"/>
          </w:rPr>
          <w:t>Bibliopedagoško delo z vrtčevskimi, osnovnošolskimi in srednješolskimi skupinami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_Toc484153508 \h </w:instrTex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t>6</w:t>
        </w:r>
        <w:r w:rsidR="00767B3C" w:rsidRPr="00767B3C">
          <w:rPr>
            <w:rFonts w:ascii="Times New Roman" w:hAnsi="Times New Roman" w:cs="Times New Roman"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480"/>
          <w:tab w:val="right" w:leader="underscore" w:pos="9062"/>
        </w:tabs>
        <w:spacing w:before="120" w:after="0"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09" w:history="1">
        <w:r w:rsidR="00767B3C" w:rsidRPr="00767B3C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FF"/>
            <w:sz w:val="24"/>
            <w:szCs w:val="24"/>
            <w:u w:val="single"/>
            <w:lang w:eastAsia="ar-SA"/>
          </w:rPr>
          <w:t>3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FF"/>
            <w:sz w:val="24"/>
            <w:szCs w:val="24"/>
            <w:u w:val="single"/>
            <w:lang w:eastAsia="ar-SA"/>
          </w:rPr>
          <w:t>CILJI  IPAVČEVEGA KULTURNEGA CENTRA ZA LETO 20</w:t>
        </w:r>
        <w:r w:rsidR="00767B3C">
          <w:rPr>
            <w:rFonts w:ascii="Times New Roman" w:eastAsia="Times New Roman" w:hAnsi="Times New Roman" w:cs="Times New Roman"/>
            <w:b/>
            <w:bCs/>
            <w:i/>
            <w:iCs/>
            <w:noProof/>
            <w:color w:val="0000FF"/>
            <w:sz w:val="24"/>
            <w:szCs w:val="24"/>
            <w:u w:val="single"/>
            <w:lang w:eastAsia="ar-SA"/>
          </w:rPr>
          <w:t>20</w:t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_Toc484153509 \h </w:instrText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t>7</w:t>
        </w:r>
        <w:r w:rsidR="00767B3C" w:rsidRPr="00767B3C">
          <w:rPr>
            <w:rFonts w:ascii="Times New Roman" w:hAnsi="Times New Roman" w:cs="Times New Roman"/>
            <w:b/>
            <w:bCs/>
            <w:i/>
            <w:iCs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960"/>
          <w:tab w:val="right" w:leader="underscore" w:pos="9062"/>
        </w:tabs>
        <w:spacing w:before="120" w:after="0" w:line="360" w:lineRule="auto"/>
        <w:ind w:left="24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10" w:history="1"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3.1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Upravljanje Ipavčevega kulturnega centra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_Toc484153510 \h </w:instrTex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>7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960"/>
          <w:tab w:val="right" w:leader="underscore" w:pos="9062"/>
        </w:tabs>
        <w:spacing w:before="120" w:after="0" w:line="360" w:lineRule="auto"/>
        <w:ind w:left="24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11" w:history="1"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3.2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Program prireditev v Ipavčevem kulturnem centru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_Toc484153511 \h </w:instrTex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>7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960"/>
          <w:tab w:val="right" w:leader="underscore" w:pos="9062"/>
        </w:tabs>
        <w:spacing w:before="120" w:after="0" w:line="360" w:lineRule="auto"/>
        <w:ind w:left="24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12" w:history="1"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3.3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Spletna stran IKC, informiranje in promocija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_Toc484153512 \h </w:instrTex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>8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960"/>
          <w:tab w:val="right" w:leader="underscore" w:pos="9062"/>
        </w:tabs>
        <w:spacing w:before="120" w:after="0" w:line="360" w:lineRule="auto"/>
        <w:ind w:left="24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13" w:history="1"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3.4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Prijava projektov na razpise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_Toc484153513 \h </w:instrTex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>8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960"/>
          <w:tab w:val="right" w:leader="underscore" w:pos="9062"/>
        </w:tabs>
        <w:spacing w:before="120" w:after="0" w:line="360" w:lineRule="auto"/>
        <w:ind w:left="24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14" w:history="1"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3.5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Prodaja vstopnic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_Toc484153514 \h </w:instrTex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>9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585AC0" w:rsidP="00767B3C">
      <w:pPr>
        <w:tabs>
          <w:tab w:val="left" w:pos="960"/>
          <w:tab w:val="right" w:leader="underscore" w:pos="9062"/>
        </w:tabs>
        <w:spacing w:before="120" w:after="0" w:line="360" w:lineRule="auto"/>
        <w:ind w:left="240"/>
        <w:rPr>
          <w:rFonts w:ascii="Times New Roman" w:eastAsiaTheme="minorEastAsia" w:hAnsi="Times New Roman" w:cs="Times New Roman"/>
          <w:noProof/>
          <w:sz w:val="24"/>
          <w:szCs w:val="24"/>
          <w:lang w:eastAsia="sl-SI"/>
        </w:rPr>
      </w:pPr>
      <w:hyperlink w:anchor="_Toc484153515" w:history="1"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3.6</w:t>
        </w:r>
        <w:r w:rsidR="00767B3C" w:rsidRPr="00767B3C">
          <w:rPr>
            <w:rFonts w:ascii="Times New Roman" w:eastAsiaTheme="minorEastAsia" w:hAnsi="Times New Roman" w:cs="Times New Roman"/>
            <w:noProof/>
            <w:sz w:val="24"/>
            <w:szCs w:val="24"/>
            <w:lang w:eastAsia="sl-SI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color w:val="0000FF"/>
            <w:sz w:val="24"/>
            <w:szCs w:val="24"/>
            <w:u w:val="single"/>
          </w:rPr>
          <w:t>Vzdrževanje objekta in prireditvenih prostorov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ab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begin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instrText xml:space="preserve"> PAGEREF _Toc484153515 \h </w:instrTex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separate"/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t>9</w:t>
        </w:r>
        <w:r w:rsidR="00767B3C" w:rsidRPr="00767B3C">
          <w:rPr>
            <w:rFonts w:ascii="Times New Roman" w:hAnsi="Times New Roman" w:cs="Times New Roman"/>
            <w:b/>
            <w:bCs/>
            <w:noProof/>
            <w:webHidden/>
            <w:color w:val="808080" w:themeColor="background1" w:themeShade="80"/>
            <w:sz w:val="24"/>
            <w:szCs w:val="24"/>
          </w:rPr>
          <w:fldChar w:fldCharType="end"/>
        </w:r>
      </w:hyperlink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4"/>
          <w:szCs w:val="24"/>
        </w:rPr>
        <w:sectPr w:rsidR="00767B3C" w:rsidRPr="00767B3C" w:rsidSect="00767B3C">
          <w:footerReference w:type="default" r:id="rId11"/>
          <w:pgSz w:w="11906" w:h="16838"/>
          <w:pgMar w:top="1417" w:right="1417" w:bottom="1417" w:left="1417" w:header="708" w:footer="708" w:gutter="0"/>
          <w:pgNumType w:start="0"/>
          <w:cols w:space="708"/>
          <w:docGrid w:linePitch="360"/>
        </w:sectPr>
      </w:pPr>
      <w:r w:rsidRPr="00767B3C">
        <w:rPr>
          <w:rFonts w:ascii="Times New Roman" w:hAnsi="Times New Roman" w:cs="Times New Roman"/>
          <w:color w:val="7F7F7F" w:themeColor="text1" w:themeTint="80"/>
          <w:sz w:val="24"/>
          <w:szCs w:val="24"/>
        </w:rPr>
        <w:fldChar w:fldCharType="end"/>
      </w:r>
    </w:p>
    <w:p w:rsidR="00767B3C" w:rsidRPr="00767B3C" w:rsidRDefault="00767B3C" w:rsidP="00767B3C">
      <w:pPr>
        <w:spacing w:after="0" w:line="360" w:lineRule="auto"/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</w:p>
    <w:p w:rsidR="00767B3C" w:rsidRPr="00767B3C" w:rsidRDefault="00767B3C" w:rsidP="00767B3C">
      <w:pPr>
        <w:rPr>
          <w:rFonts w:ascii="Times New Roman" w:eastAsia="Times New Roman" w:hAnsi="Times New Roman" w:cs="Times New Roman"/>
          <w:b/>
          <w:bCs/>
          <w:color w:val="7F7F7F" w:themeColor="text1" w:themeTint="80"/>
          <w:sz w:val="28"/>
          <w:szCs w:val="28"/>
          <w:lang w:eastAsia="ar-SA"/>
        </w:rPr>
      </w:pPr>
      <w:r w:rsidRPr="00767B3C">
        <w:rPr>
          <w:rFonts w:ascii="Times New Roman" w:eastAsia="Times New Roman" w:hAnsi="Times New Roman" w:cs="Times New Roman"/>
          <w:color w:val="7F7F7F" w:themeColor="text1" w:themeTint="80"/>
          <w:sz w:val="24"/>
          <w:lang w:eastAsia="ar-SA"/>
        </w:rPr>
        <w:br w:type="page"/>
      </w:r>
    </w:p>
    <w:p w:rsidR="00767B3C" w:rsidRPr="00767B3C" w:rsidRDefault="00767B3C" w:rsidP="00767B3C">
      <w:pPr>
        <w:keepNext/>
        <w:keepLines/>
        <w:spacing w:after="280" w:line="360" w:lineRule="auto"/>
        <w:ind w:left="432" w:hanging="432"/>
        <w:jc w:val="both"/>
        <w:outlineLvl w:val="0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ar-SA"/>
        </w:rPr>
      </w:pPr>
      <w:bookmarkStart w:id="2" w:name="_Toc444196629"/>
      <w:bookmarkStart w:id="3" w:name="_Toc484153496"/>
      <w:bookmarkEnd w:id="0"/>
      <w:r w:rsidRPr="00767B3C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ar-SA"/>
        </w:rPr>
        <w:lastRenderedPageBreak/>
        <w:t xml:space="preserve">ZAKONSKE PODLAGE IN </w:t>
      </w:r>
      <w:r w:rsidRPr="00767B3C"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8"/>
          <w:szCs w:val="28"/>
        </w:rPr>
        <w:t>OSNOVNA</w:t>
      </w:r>
      <w:r w:rsidRPr="00767B3C"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8"/>
          <w:szCs w:val="28"/>
          <w:lang w:eastAsia="ar-SA"/>
        </w:rPr>
        <w:t xml:space="preserve"> IZHODIŠČA</w:t>
      </w:r>
      <w:bookmarkEnd w:id="2"/>
      <w:bookmarkEnd w:id="3"/>
    </w:p>
    <w:p w:rsidR="00767B3C" w:rsidRPr="00767B3C" w:rsidRDefault="00767B3C" w:rsidP="00767B3C">
      <w:pPr>
        <w:keepNext/>
        <w:keepLines/>
        <w:numPr>
          <w:ilvl w:val="1"/>
          <w:numId w:val="0"/>
        </w:numPr>
        <w:spacing w:after="240" w:line="360" w:lineRule="auto"/>
        <w:ind w:left="576" w:hanging="576"/>
        <w:jc w:val="both"/>
        <w:outlineLvl w:val="1"/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8"/>
          <w:szCs w:val="26"/>
        </w:rPr>
      </w:pPr>
      <w:bookmarkStart w:id="4" w:name="_Toc444196630"/>
      <w:bookmarkStart w:id="5" w:name="_Toc484153497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8"/>
          <w:szCs w:val="26"/>
        </w:rPr>
        <w:t>Zakonske podlage</w:t>
      </w:r>
      <w:bookmarkEnd w:id="4"/>
      <w:bookmarkEnd w:id="5"/>
    </w:p>
    <w:p w:rsidR="00767B3C" w:rsidRPr="00767B3C" w:rsidRDefault="00767B3C" w:rsidP="00767B3C">
      <w:pPr>
        <w:keepNext/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ar-SA"/>
        </w:rPr>
        <w:t xml:space="preserve">Zakonske podlage za izvajanje dejavnosti osrednje Knjižnice Šentjur: 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 xml:space="preserve">Zakon o uresničevanju javnega interesa za kulturo (Ur. l. RS, št. 56/08, 4/10, 20/11, 111/13 in 68/16); 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Zakon o zavodih (Ur. l. RS, št. 12/91 in 8/96, 30/00 in 127/06);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Zakon o knjižničarstvu (Ur. l. RS, št. 87/01 in 92/15);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Pravilnik o izvajanju knjižnične dejavnosti kot javne službe (Ur. l. RS, št. 73/03);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Standardi za splošne knjižnice 2018–2028;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Nacionalni program za kulturo 20</w:t>
      </w:r>
      <w:r w:rsidR="008A1F4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20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-202</w:t>
      </w:r>
      <w:r w:rsidR="008A1F4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7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;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contextualSpacing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 xml:space="preserve">Odlok o ustanovitvi in delovanju JZ Knjižnice Šentjur (Ur. l. RS, št. 74/2015); </w:t>
      </w:r>
    </w:p>
    <w:p w:rsidR="00767B3C" w:rsidRPr="00767B3C" w:rsidRDefault="00767B3C" w:rsidP="00767B3C">
      <w:pPr>
        <w:keepNext/>
        <w:numPr>
          <w:ilvl w:val="0"/>
          <w:numId w:val="2"/>
        </w:numPr>
        <w:tabs>
          <w:tab w:val="num" w:pos="1080"/>
        </w:tabs>
        <w:suppressAutoHyphens/>
        <w:spacing w:after="0" w:line="360" w:lineRule="auto"/>
        <w:ind w:left="360"/>
        <w:contextualSpacing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Strategija za splošne knjižnice 2013–2020;</w:t>
      </w:r>
    </w:p>
    <w:p w:rsidR="00767B3C" w:rsidRPr="00767B3C" w:rsidRDefault="00767B3C" w:rsidP="00767B3C">
      <w:pPr>
        <w:keepNext/>
        <w:suppressAutoHyphens/>
        <w:spacing w:after="0" w:line="360" w:lineRule="auto"/>
        <w:ind w:left="360"/>
        <w:contextualSpacing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</w:p>
    <w:p w:rsidR="00767B3C" w:rsidRPr="00767B3C" w:rsidRDefault="00767B3C" w:rsidP="00767B3C">
      <w:pPr>
        <w:keepNext/>
        <w:numPr>
          <w:ilvl w:val="0"/>
          <w:numId w:val="3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ar-SA"/>
        </w:rPr>
        <w:t xml:space="preserve">Zakonske in druge pravne podlage za pripravo finančnega načrta: 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Zakon o javnih financah (Ur. l. RS, št. </w:t>
      </w:r>
      <w:hyperlink r:id="rId12" w:tgtFrame="_blank" w:tooltip="Zakon o javnih financah (uradno prečiščeno besedilo)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11/11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UPB, </w:t>
      </w:r>
      <w:hyperlink r:id="rId13" w:tgtFrame="_blank" w:tooltip="Popravek Uradnega prečiščenega besedila Zakona  o javnih financah (ZJF-UPB4p)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 xml:space="preserve">14/13 – </w:t>
        </w:r>
        <w:proofErr w:type="spellStart"/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popr</w:t>
        </w:r>
        <w:proofErr w:type="spellEnd"/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.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14" w:tgtFrame="_blank" w:tooltip="Zakon o dopolnitvi Zakona o javnih financah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101/13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15" w:tgtFrame="_blank" w:tooltip="Zakon o fiskalnem pravilu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55/15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ZFisP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</w:t>
      </w:r>
      <w:hyperlink r:id="rId16" w:tgtFrame="_blank" w:tooltip="Zakon o izvrševanju proračunov Republike Slovenije za leti 2016 in 2017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96/15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ZIPRS1617);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6" w:name="OLE_LINK3"/>
      <w:bookmarkStart w:id="7" w:name="OLE_LINK4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Zakon o računovodstvu </w:t>
      </w:r>
      <w:bookmarkEnd w:id="6"/>
      <w:bookmarkEnd w:id="7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(Ur. l. RS, št. </w:t>
      </w:r>
      <w:hyperlink r:id="rId17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23/99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18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30/02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-ZJF-C, </w:t>
      </w:r>
      <w:hyperlink r:id="rId19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114/06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-ZUE);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8" w:name="OLE_LINK5"/>
      <w:bookmarkStart w:id="9" w:name="OLE_LINK6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Zakon o preglednosti finančnih odnosov in ločenem evidentiranju različnih dejavnosti </w:t>
      </w:r>
      <w:bookmarkEnd w:id="8"/>
      <w:bookmarkEnd w:id="9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(Ur. l. RS, št. </w:t>
      </w:r>
      <w:hyperlink r:id="rId20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33/11)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0" w:name="OLE_LINK7"/>
      <w:bookmarkStart w:id="11" w:name="OLE_LINK8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Navodilo o pripravi finančnih načrtov posrednih uporabnikov državnega in občinskih proračunov </w:t>
      </w:r>
      <w:bookmarkEnd w:id="10"/>
      <w:bookmarkEnd w:id="11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(Ur. l. RS, št. 91/00 in 122/00);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2" w:name="OLE_LINK9"/>
      <w:bookmarkStart w:id="13" w:name="OLE_LINK10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Pravilnik o sestavljanju letnih poročil za proračun, proračunske uporabnike in druge osebe javnega prava </w:t>
      </w:r>
      <w:bookmarkEnd w:id="12"/>
      <w:bookmarkEnd w:id="13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(Ur. l. RS, št. </w:t>
      </w:r>
      <w:hyperlink r:id="rId21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115/02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22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21/03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23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134/03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24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126/04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25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120/07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26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124/08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58/10, 67/10 -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popr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., 104/10, 104/11 in 86/16);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4" w:name="OLE_LINK11"/>
      <w:bookmarkStart w:id="15" w:name="OLE_LINK12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Pravilnik o enotnem kontnem načrtu za proračunske uporabnike in druge osebe javnega prava </w:t>
      </w:r>
      <w:bookmarkEnd w:id="14"/>
      <w:bookmarkEnd w:id="15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(Ur. l. RS, št. 112/09, 58/10, 104/10, 104/11, 97/12, </w:t>
      </w:r>
      <w:hyperlink r:id="rId27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108/13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94/14 in 100/15 in 84/16);</w:t>
      </w:r>
      <w:bookmarkStart w:id="16" w:name="OLE_LINK13"/>
      <w:bookmarkStart w:id="17" w:name="OLE_LINK14"/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Pravilnik o razčlenjevanju in merjenju prihodkov in odhodkov pravnih oseb javnega prava </w:t>
      </w:r>
      <w:bookmarkEnd w:id="16"/>
      <w:bookmarkEnd w:id="17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(Ur. l. RS, št. 134/03, 34/04, 13/05, 114/06-ZUE, 138/06, 120/07, 112/09, 58/10, 97/12 in 100/15);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18" w:name="OLE_LINK15"/>
      <w:bookmarkStart w:id="19" w:name="OLE_LINK16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 xml:space="preserve">Pravilnik o načinu in stopnjah odpisa neopredmetenih sredstev in opredmetenih osnovnih sredstev </w:t>
      </w:r>
      <w:bookmarkEnd w:id="18"/>
      <w:bookmarkEnd w:id="19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(Ur. l. RS, št. 45/05, 138/06, 120/07, 48/09, 112/09, 58/10, </w:t>
      </w:r>
      <w:hyperlink r:id="rId28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108/13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100/15);</w:t>
      </w:r>
    </w:p>
    <w:p w:rsidR="00767B3C" w:rsidRPr="00767B3C" w:rsidRDefault="00767B3C" w:rsidP="00767B3C">
      <w:pPr>
        <w:numPr>
          <w:ilvl w:val="0"/>
          <w:numId w:val="1"/>
        </w:numPr>
        <w:tabs>
          <w:tab w:val="left" w:pos="0"/>
        </w:tabs>
        <w:spacing w:after="0" w:line="360" w:lineRule="auto"/>
        <w:ind w:left="36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20" w:name="OLE_LINK17"/>
      <w:bookmarkStart w:id="21" w:name="OLE_LINK18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Pravilnik o določitvi neposrednih in posrednih uporabnikov državnega in občinskih proračunov </w:t>
      </w:r>
      <w:bookmarkEnd w:id="20"/>
      <w:bookmarkEnd w:id="21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(Ur. l. RS, št. 46/03).</w:t>
      </w:r>
    </w:p>
    <w:p w:rsidR="00767B3C" w:rsidRPr="00767B3C" w:rsidRDefault="00767B3C" w:rsidP="00767B3C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767B3C" w:rsidRDefault="00767B3C" w:rsidP="00767B3C">
      <w:pPr>
        <w:keepNext/>
        <w:numPr>
          <w:ilvl w:val="0"/>
          <w:numId w:val="3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b/>
          <w:color w:val="808080" w:themeColor="background1" w:themeShade="80"/>
          <w:sz w:val="24"/>
          <w:szCs w:val="24"/>
          <w:lang w:eastAsia="ar-SA"/>
        </w:rPr>
        <w:t>Interni akti zavoda:</w:t>
      </w:r>
    </w:p>
    <w:p w:rsidR="00767B3C" w:rsidRPr="00767B3C" w:rsidRDefault="00767B3C" w:rsidP="00767B3C">
      <w:pPr>
        <w:keepNext/>
        <w:numPr>
          <w:ilvl w:val="0"/>
          <w:numId w:val="4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Statut Občine Šentjur (Ur. l. RS, 37/11 in Ur. l. RS 54/16)</w:t>
      </w:r>
    </w:p>
    <w:p w:rsidR="00767B3C" w:rsidRPr="00767B3C" w:rsidRDefault="00767B3C" w:rsidP="00767B3C">
      <w:pPr>
        <w:keepNext/>
        <w:numPr>
          <w:ilvl w:val="0"/>
          <w:numId w:val="4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Odlok o ustanovitvi in delovanju javnega zavoda Knjižnica Šentjur (Ur. l. RS, št. 74/15)</w:t>
      </w:r>
    </w:p>
    <w:p w:rsidR="00767B3C" w:rsidRPr="00767B3C" w:rsidRDefault="00767B3C" w:rsidP="00767B3C">
      <w:pPr>
        <w:keepNext/>
        <w:numPr>
          <w:ilvl w:val="0"/>
          <w:numId w:val="4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 xml:space="preserve">Dokument nabavne politike Knjižnice Šentjur ; </w:t>
      </w:r>
    </w:p>
    <w:p w:rsidR="00767B3C" w:rsidRPr="00767B3C" w:rsidRDefault="00767B3C" w:rsidP="00767B3C">
      <w:pPr>
        <w:keepNext/>
        <w:numPr>
          <w:ilvl w:val="0"/>
          <w:numId w:val="4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Letni načrt nakupa knjižničnega gradiva 20</w:t>
      </w:r>
      <w:r w:rsidR="009B0F74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2</w:t>
      </w:r>
      <w:r w:rsidR="008A1F4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1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;</w:t>
      </w:r>
    </w:p>
    <w:p w:rsidR="00767B3C" w:rsidRPr="00767B3C" w:rsidRDefault="00767B3C" w:rsidP="00767B3C">
      <w:pPr>
        <w:keepNext/>
        <w:numPr>
          <w:ilvl w:val="0"/>
          <w:numId w:val="4"/>
        </w:numPr>
        <w:tabs>
          <w:tab w:val="num" w:pos="1080"/>
        </w:tabs>
        <w:suppressAutoHyphens/>
        <w:spacing w:after="0" w:line="360" w:lineRule="auto"/>
        <w:ind w:left="360"/>
        <w:jc w:val="both"/>
        <w:outlineLvl w:val="8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Strateški načrt Knjižnice Šentjur 20</w:t>
      </w:r>
      <w:r w:rsidR="008A1F4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21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–202</w:t>
      </w:r>
      <w:r w:rsidR="008A1F49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>5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ar-SA"/>
        </w:rPr>
        <w:t xml:space="preserve">.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</w:rPr>
      </w:pPr>
    </w:p>
    <w:p w:rsidR="00767B3C" w:rsidRPr="00767B3C" w:rsidRDefault="00767B3C" w:rsidP="00767B3C">
      <w:pPr>
        <w:keepNext/>
        <w:keepLines/>
        <w:numPr>
          <w:ilvl w:val="1"/>
          <w:numId w:val="0"/>
        </w:numPr>
        <w:spacing w:after="240" w:line="360" w:lineRule="auto"/>
        <w:ind w:left="576" w:hanging="576"/>
        <w:jc w:val="both"/>
        <w:outlineLvl w:val="1"/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8"/>
          <w:szCs w:val="26"/>
        </w:rPr>
      </w:pPr>
      <w:bookmarkStart w:id="22" w:name="_Toc444196631"/>
      <w:bookmarkStart w:id="23" w:name="_Toc484153498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8"/>
          <w:szCs w:val="26"/>
        </w:rPr>
        <w:t>Osnovna izhodišča za sestavo finančnega načrta za leto 20</w:t>
      </w:r>
      <w:bookmarkEnd w:id="22"/>
      <w:bookmarkEnd w:id="23"/>
      <w:r w:rsidR="008A1F49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8"/>
          <w:szCs w:val="26"/>
        </w:rPr>
        <w:t>21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Pri sestavi finančnega načrta za leto 2019 smo upoštevali naslednja izhodišča: </w:t>
      </w:r>
    </w:p>
    <w:p w:rsidR="00767B3C" w:rsidRPr="00767B3C" w:rsidRDefault="008A1F49" w:rsidP="00767B3C">
      <w:pPr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Po sklepu o začasnem financiranje 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Občine Šentjur za leti 20</w:t>
      </w:r>
      <w:r w:rsidR="009B0F7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;</w:t>
      </w:r>
    </w:p>
    <w:p w:rsidR="00767B3C" w:rsidRPr="00767B3C" w:rsidRDefault="00767B3C" w:rsidP="00767B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Zakon o izvrševanju proračunov Republike Slovenije za leti 2018/19 ( Ur. l. RS, št. </w:t>
      </w:r>
      <w:r w:rsidR="00DF6AE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75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/1</w:t>
      </w:r>
      <w:r w:rsidR="00DF6AE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9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);</w:t>
      </w:r>
    </w:p>
    <w:p w:rsidR="00767B3C" w:rsidRPr="00767B3C" w:rsidRDefault="00767B3C" w:rsidP="00767B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i/>
          <w:iCs/>
          <w:color w:val="808080" w:themeColor="background1" w:themeShade="80"/>
          <w:sz w:val="24"/>
          <w:szCs w:val="24"/>
        </w:rPr>
      </w:pPr>
      <w:bookmarkStart w:id="24" w:name="OLE_LINK19"/>
      <w:bookmarkStart w:id="25" w:name="OLE_LINK20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Zakon o uravnoteženju javnih financ </w:t>
      </w:r>
      <w:bookmarkEnd w:id="24"/>
      <w:bookmarkEnd w:id="25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(Ur. l. RS, št. </w:t>
      </w:r>
      <w:hyperlink r:id="rId29" w:tgtFrame="_blank" w:tooltip="Zakon za uravnoteženje javnih financ (ZUJF)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40/12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30" w:tgtFrame="_blank" w:tooltip="Zakon o pokojninskem in invalidskem zavarovanju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96/12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ZPIZ-2, </w:t>
      </w:r>
      <w:hyperlink r:id="rId31" w:tgtFrame="_blank" w:tooltip="Zakon o izvrševanju proračunov Republike Slovenije za leti 2013 in 2014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104/12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ZIPRS1314, </w:t>
      </w:r>
      <w:hyperlink r:id="rId32" w:tgtFrame="_blank" w:tooltip="Zakon o dopolnitvi Zakona za uravnoteženje javnih financ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105/12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33" w:tgtFrame="_blank" w:tooltip="Odločba o razveljavitvi drugega, tretjega in četrtega odstavka 143. člena Zakona za uravnoteženje financ in o ugotovitvi, da so bili drugi, tretji in četrti odstavek 143. člena Zakona za uravnoteženje javnih financ v delih, ki so se nanašali na upravičence do 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25/13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odl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US, </w:t>
      </w:r>
      <w:hyperlink r:id="rId34" w:tgtFrame="_blank" w:tooltip="Zakon o spremembah in dopolnitvah Zakona o izvrševanju proračunov Republike Slovenije za leti 2013 in 2014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46/13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ZIPRS1314-A, </w:t>
      </w:r>
      <w:hyperlink r:id="rId35" w:tgtFrame="_blank" w:tooltip="Zakon o štipendiranju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56/13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ZŠtip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-1, </w:t>
      </w:r>
      <w:hyperlink r:id="rId36" w:tgtFrame="_blank" w:tooltip="Zakon o spremembah in dopolnitvah Zakona o osnovni šoli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63/13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ZOsn-I, </w:t>
      </w:r>
      <w:hyperlink r:id="rId37" w:tgtFrame="_blank" w:tooltip="Zakon o spremembah in dopolnitvah Zakona o Javni agenciji za knjigo Republike Slovenije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63/13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ZJAKRS-A, </w:t>
      </w:r>
      <w:hyperlink r:id="rId38" w:tgtFrame="_blank" w:tooltip="Zakon o spremembah in dopolnitvah Zakona o uveljavljanju pravic iz javnih sredstev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99/13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ZUPJS-C, </w:t>
      </w:r>
      <w:hyperlink r:id="rId39" w:tgtFrame="_blank" w:tooltip="Zakon o spremembah in dopolnitvah Zakona o socialno varstvenih prejemkih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99/13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ZSVarPre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-C, </w:t>
      </w:r>
      <w:hyperlink r:id="rId40" w:tgtFrame="_blank" w:tooltip="Zakon o izvrševanju proračunov Republike Slovenije za leti 2014 in 2015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101/13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ZIPRS1415, </w:t>
      </w:r>
      <w:hyperlink r:id="rId41" w:tgtFrame="_blank" w:tooltip="Zakon o davku na nepremičnine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101/13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ZDavNepr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42" w:tgtFrame="_blank" w:tooltip="Odločba o ugotovitvi, da so prvi odstavek 188. člena Zakona za uravnoteženje javnih financ v zvezi z enajstim odstavkom 429. člena Zakona o pokojninskem in invalidskem zavarovanju, drugi, tretji in četrti odstavek 188. člena ter 246. člen Zakona za uravnotežen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107/13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odl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US, </w:t>
      </w:r>
      <w:hyperlink r:id="rId43" w:tgtFrame="_blank" w:tooltip="Zakon o spremembah in dopolnitvah Zakona za uravnoteženje javnih financ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85/14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44" w:tgtFrame="_blank" w:tooltip="Zakon o spremembah in dopolnitvah Zakona za uravnoteženje javnih financ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95/14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hyperlink r:id="rId45" w:tgtFrame="_blank" w:tooltip="Odločba o razveljavitvi drugega in tretjega odstavka 137. člena Zakona za uravnoteženje javnih financ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24/15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odl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. US, </w:t>
      </w:r>
      <w:hyperlink r:id="rId46" w:tgtFrame="_blank" w:tooltip="Zakon o spremembah Zakona za uravnoteženje javnih financ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90/15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 </w:t>
      </w:r>
      <w:hyperlink r:id="rId47" w:tgtFrame="_blank" w:tooltip="Zakon o dopolnitvi Zakona za uravnoteženje javnih financ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102/15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63/16 –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Zdoh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-2R</w:t>
      </w:r>
      <w:r w:rsidR="0043030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77/17-ZMVN-1, 33/19-ZMVN-1A in 72/19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);</w:t>
      </w:r>
    </w:p>
    <w:p w:rsidR="00767B3C" w:rsidRPr="00767B3C" w:rsidRDefault="00767B3C" w:rsidP="00767B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Kolektivna pogodba za javni sektor KPJS z aneksi;</w:t>
      </w:r>
      <w:r w:rsidRPr="00767B3C">
        <w:rPr>
          <w:rFonts w:ascii="Times New Roman" w:hAnsi="Times New Roman"/>
          <w:color w:val="808080" w:themeColor="background1" w:themeShade="80"/>
          <w:sz w:val="24"/>
        </w:rPr>
        <w:t xml:space="preserve"> (Ur. l. RS, št 57/08), Aneks št. 1 h KP za javni sektor (Ur. l. RS, št. 23/09)</w:t>
      </w:r>
      <w:r w:rsidRPr="00767B3C">
        <w:rPr>
          <w:rFonts w:ascii="Times New Roman" w:hAnsi="Times New Roman"/>
          <w:color w:val="0000FF"/>
          <w:sz w:val="24"/>
        </w:rPr>
        <w:t xml:space="preserve"> </w:t>
      </w:r>
      <w:r w:rsidRPr="00767B3C">
        <w:rPr>
          <w:rFonts w:ascii="Times New Roman" w:hAnsi="Times New Roman"/>
          <w:color w:val="808080" w:themeColor="background1" w:themeShade="80"/>
          <w:sz w:val="24"/>
        </w:rPr>
        <w:t xml:space="preserve">, Aneks št. 2 h KP za javni sektor (Ur. l. RS, št. 91/09), Aneks št. 3 h KP za javni sektor (Ur. l. RS, št. 89/10), Aneks št. 4 h KP za javni sektor (Ur. l. RS, št. 89/10); Aneks št. 5 h KP za javni sektor (Ur. l. RS, št. 40/12); Aneks št. 6 h KP za javni sektor (Ur. l. RS, št. 46/13); Aneks št. 7 h KP za javni sektor (Ur. l. RS, št. 95/14); Aneks  št. 8 h Kolektivni pogodbi za javni sektor (Ur. l. RS, št. 91/15, št. 46/17, 2/18/18 –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</w:rPr>
        <w:t>popr</w:t>
      </w:r>
      <w:proofErr w:type="spellEnd"/>
      <w:r w:rsidRPr="00767B3C">
        <w:rPr>
          <w:rFonts w:ascii="Times New Roman" w:hAnsi="Times New Roman"/>
          <w:color w:val="808080" w:themeColor="background1" w:themeShade="80"/>
          <w:sz w:val="24"/>
        </w:rPr>
        <w:t>. in 80/18);</w:t>
      </w:r>
    </w:p>
    <w:p w:rsidR="00767B3C" w:rsidRPr="00767B3C" w:rsidRDefault="00767B3C" w:rsidP="00767B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Zakon o spremembah Zakona o sistemu plač v javnem sektorju – ZSPJS-U (Uradni list RS, št. 67/17).</w:t>
      </w:r>
    </w:p>
    <w:p w:rsidR="00767B3C" w:rsidRPr="00767B3C" w:rsidRDefault="00767B3C" w:rsidP="00767B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Dogovor o ukrepih na področju stroškov dela in drugih ukrepih v javnem sektorju za leto 2019 in 2020 (</w:t>
      </w:r>
      <w:hyperlink r:id="rId48" w:anchor="%21/Dogovor-o-ukrepih-na-podrocju-stroskov-dela-in-drugih-ukrepih-v-javnem-sektorju-za-leto-2016" w:tgtFrame="_blank" w:history="1">
        <w:r w:rsidRPr="00767B3C">
          <w:rPr>
            <w:rFonts w:ascii="Times New Roman" w:hAnsi="Times New Roman" w:cs="Times New Roman"/>
            <w:color w:val="808080" w:themeColor="background1" w:themeShade="80"/>
            <w:sz w:val="24"/>
            <w:szCs w:val="24"/>
          </w:rPr>
          <w:t>Ur. l. RS, št. 80/</w:t>
        </w:r>
      </w:hyperlink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18);</w:t>
      </w:r>
    </w:p>
    <w:p w:rsidR="00767B3C" w:rsidRPr="00767B3C" w:rsidRDefault="00767B3C" w:rsidP="00767B3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Uredba o dopolnitvi Uredbe o plačah direktorjev v javnem sektorju (Ur. l. RS, št. 9/09, 40/17 in 4/18).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767B3C" w:rsidRDefault="00767B3C" w:rsidP="00767B3C">
      <w:pPr>
        <w:keepNext/>
        <w:keepLines/>
        <w:spacing w:after="280" w:line="360" w:lineRule="auto"/>
        <w:ind w:left="432" w:hanging="432"/>
        <w:jc w:val="both"/>
        <w:outlineLvl w:val="0"/>
        <w:rPr>
          <w:rFonts w:ascii="Times New Roman" w:eastAsia="Times New Roman" w:hAnsi="Times New Roman" w:cstheme="majorBidi"/>
          <w:b/>
          <w:bCs/>
          <w:color w:val="808080" w:themeColor="background1" w:themeShade="80"/>
          <w:sz w:val="28"/>
          <w:szCs w:val="28"/>
          <w:lang w:eastAsia="ar-SA"/>
        </w:rPr>
      </w:pPr>
      <w:bookmarkStart w:id="26" w:name="_Toc387764556"/>
      <w:bookmarkStart w:id="27" w:name="_Toc444196632"/>
      <w:bookmarkStart w:id="28" w:name="_Toc484153499"/>
      <w:r w:rsidRPr="00767B3C">
        <w:rPr>
          <w:rFonts w:ascii="Times New Roman" w:eastAsia="Times New Roman" w:hAnsi="Times New Roman" w:cstheme="majorBidi"/>
          <w:b/>
          <w:bCs/>
          <w:color w:val="808080" w:themeColor="background1" w:themeShade="80"/>
          <w:sz w:val="28"/>
          <w:szCs w:val="28"/>
          <w:lang w:eastAsia="ar-SA"/>
        </w:rPr>
        <w:t>CILJI KNJIŽNICE ŠENTJUR ZA LETO 20</w:t>
      </w:r>
      <w:bookmarkEnd w:id="26"/>
      <w:bookmarkEnd w:id="27"/>
      <w:bookmarkEnd w:id="28"/>
      <w:r>
        <w:rPr>
          <w:rFonts w:ascii="Times New Roman" w:eastAsia="Times New Roman" w:hAnsi="Times New Roman" w:cstheme="majorBidi"/>
          <w:b/>
          <w:bCs/>
          <w:color w:val="808080" w:themeColor="background1" w:themeShade="80"/>
          <w:sz w:val="28"/>
          <w:szCs w:val="28"/>
          <w:lang w:eastAsia="ar-SA"/>
        </w:rPr>
        <w:t>2</w:t>
      </w:r>
      <w:r w:rsidR="008A1F49">
        <w:rPr>
          <w:rFonts w:ascii="Times New Roman" w:eastAsia="Times New Roman" w:hAnsi="Times New Roman" w:cstheme="majorBidi"/>
          <w:b/>
          <w:bCs/>
          <w:color w:val="808080" w:themeColor="background1" w:themeShade="80"/>
          <w:sz w:val="28"/>
          <w:szCs w:val="28"/>
          <w:lang w:eastAsia="ar-SA"/>
        </w:rPr>
        <w:t>1</w:t>
      </w:r>
    </w:p>
    <w:p w:rsidR="00767B3C" w:rsidRPr="00767B3C" w:rsidRDefault="00767B3C" w:rsidP="00767B3C">
      <w:pPr>
        <w:keepNext/>
        <w:keepLines/>
        <w:numPr>
          <w:ilvl w:val="1"/>
          <w:numId w:val="0"/>
        </w:numPr>
        <w:spacing w:after="240" w:line="360" w:lineRule="auto"/>
        <w:ind w:left="576" w:hanging="576"/>
        <w:jc w:val="both"/>
        <w:outlineLvl w:val="1"/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8"/>
          <w:szCs w:val="26"/>
        </w:rPr>
      </w:pPr>
      <w:bookmarkStart w:id="29" w:name="_Toc387764557"/>
      <w:bookmarkStart w:id="30" w:name="_Toc444196633"/>
      <w:bookmarkStart w:id="31" w:name="_Toc484153500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8"/>
          <w:szCs w:val="26"/>
        </w:rPr>
        <w:t>Redna dejavnost</w:t>
      </w:r>
      <w:bookmarkEnd w:id="29"/>
      <w:bookmarkEnd w:id="30"/>
      <w:bookmarkEnd w:id="31"/>
    </w:p>
    <w:p w:rsidR="00767B3C" w:rsidRPr="00767B3C" w:rsidRDefault="00767B3C" w:rsidP="00767B3C">
      <w:pPr>
        <w:keepNext/>
        <w:keepLines/>
        <w:numPr>
          <w:ilvl w:val="2"/>
          <w:numId w:val="0"/>
        </w:numPr>
        <w:spacing w:after="240" w:line="36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</w:pPr>
      <w:bookmarkStart w:id="32" w:name="_Toc484153501"/>
      <w:bookmarkStart w:id="33" w:name="_Toc387764558"/>
      <w:bookmarkStart w:id="34" w:name="_Toc444196634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>Nakup knjižničnega gradiva s sredstvi Občine Šentjur, Občine Dobje, MK RS</w:t>
      </w:r>
      <w:bookmarkEnd w:id="32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 xml:space="preserve"> </w:t>
      </w:r>
      <w:bookmarkEnd w:id="33"/>
      <w:bookmarkEnd w:id="34"/>
    </w:p>
    <w:p w:rsidR="0061301E" w:rsidRPr="0061301E" w:rsidRDefault="00767B3C" w:rsidP="0061301E">
      <w:pPr>
        <w:rPr>
          <w:rFonts w:ascii="Times New Roman" w:hAnsi="Times New Roman" w:cs="Times New Roman"/>
          <w:color w:val="7F7F7F" w:themeColor="text1" w:themeTint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Cilj: </w:t>
      </w:r>
      <w:r w:rsidR="006130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nakup</w:t>
      </w:r>
      <w:r w:rsidR="003E422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FB2F5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2.510 enot gradiva v razmerju: 50 % leposlovja in 5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0 % stroke; od tega 70 % za odrasle in 30 % za mladino</w:t>
      </w:r>
      <w:r w:rsidR="0083692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  <w:r w:rsidR="006130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3E422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Struktura sredstev za</w:t>
      </w:r>
      <w:r w:rsidR="0061301E" w:rsidRPr="0061301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nakup 2.510 enot knjižničnega gradiva: 938 enot  gradiva s sredstvi MK RS, 1.339 enot s sredstvi lokalne skupnosti in 233 enot z lastnimi sredstvi. Za uporabnike s posebnimi potrebami bomo kupili zvočne knjige (</w:t>
      </w:r>
      <w:proofErr w:type="spellStart"/>
      <w:r w:rsidR="0061301E" w:rsidRPr="0061301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Audiobook</w:t>
      </w:r>
      <w:proofErr w:type="spellEnd"/>
      <w:r w:rsidR="0061301E" w:rsidRPr="0061301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), knjige z velikimi črkami in </w:t>
      </w:r>
      <w:proofErr w:type="spellStart"/>
      <w:r w:rsidR="0061301E" w:rsidRPr="0061301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tipanke</w:t>
      </w:r>
      <w:proofErr w:type="spellEnd"/>
      <w:r w:rsidR="0061301E" w:rsidRPr="0061301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. Preko mobilnih aplikacij bodo uporabniki lahk</w:t>
      </w:r>
      <w:r w:rsidR="003E422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o dostopali do e-knjig (</w:t>
      </w:r>
      <w:proofErr w:type="spellStart"/>
      <w:r w:rsidR="003E422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Biblos</w:t>
      </w:r>
      <w:proofErr w:type="spellEnd"/>
      <w:r w:rsidR="003E422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) in zvočnih knjig (</w:t>
      </w:r>
      <w:proofErr w:type="spellStart"/>
      <w:r w:rsidR="003E422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Audiobook</w:t>
      </w:r>
      <w:proofErr w:type="spellEnd"/>
      <w:r w:rsidR="003E4228">
        <w:rPr>
          <w:rFonts w:ascii="Times New Roman" w:hAnsi="Times New Roman" w:cs="Times New Roman"/>
          <w:color w:val="7F7F7F" w:themeColor="text1" w:themeTint="80"/>
          <w:sz w:val="24"/>
          <w:szCs w:val="24"/>
        </w:rPr>
        <w:t>).</w:t>
      </w:r>
      <w:r w:rsidR="0061301E" w:rsidRPr="0061301E">
        <w:rPr>
          <w:rFonts w:ascii="Times New Roman" w:hAnsi="Times New Roman" w:cs="Times New Roman"/>
          <w:color w:val="7F7F7F" w:themeColor="text1" w:themeTint="80"/>
          <w:sz w:val="24"/>
          <w:szCs w:val="24"/>
        </w:rPr>
        <w:t xml:space="preserve"> Vsebina nakupa gradiva je usmerjena k našim ciljnim skupinam uporabnikov: predšolski otroci, osnovnošolci, srednješolci, študentje, zaposleni, upokojenci, brezposelni in uporabniki s posebnimi potrebami. </w:t>
      </w:r>
    </w:p>
    <w:p w:rsidR="0083692B" w:rsidRDefault="0083692B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83692B" w:rsidRDefault="0083692B" w:rsidP="00767B3C">
      <w:pPr>
        <w:spacing w:after="0"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83692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Zaradi COVID–19 je težko napovedovati dejavnost knjižnice</w:t>
      </w:r>
      <w:r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in Ipavčevega kulturnega centra</w:t>
      </w:r>
      <w:r w:rsidRPr="0083692B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v letu 2021.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276"/>
        <w:gridCol w:w="850"/>
        <w:gridCol w:w="1276"/>
        <w:gridCol w:w="850"/>
      </w:tblGrid>
      <w:tr w:rsidR="00767B3C" w:rsidRPr="00767B3C" w:rsidTr="00767B3C">
        <w:trPr>
          <w:trHeight w:val="96"/>
        </w:trPr>
        <w:tc>
          <w:tcPr>
            <w:tcW w:w="4820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pisna obrazložitev</w:t>
            </w:r>
          </w:p>
        </w:tc>
        <w:tc>
          <w:tcPr>
            <w:tcW w:w="1276" w:type="dxa"/>
          </w:tcPr>
          <w:p w:rsidR="00767B3C" w:rsidRPr="00767B3C" w:rsidRDefault="00767B3C" w:rsidP="00FB2F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</w:rPr>
              <w:t>Realizacija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: 201</w:t>
            </w:r>
            <w:r w:rsidR="00FB2F5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</w:t>
            </w:r>
          </w:p>
        </w:tc>
        <w:tc>
          <w:tcPr>
            <w:tcW w:w="850" w:type="dxa"/>
          </w:tcPr>
          <w:p w:rsidR="00767B3C" w:rsidRPr="00767B3C" w:rsidRDefault="00767B3C" w:rsidP="00FB2F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Načrt: 20</w:t>
            </w:r>
            <w:r w:rsidR="00FB2F5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</w:t>
            </w:r>
          </w:p>
        </w:tc>
        <w:tc>
          <w:tcPr>
            <w:tcW w:w="1276" w:type="dxa"/>
          </w:tcPr>
          <w:p w:rsidR="00767B3C" w:rsidRPr="00767B3C" w:rsidRDefault="00767B3C" w:rsidP="00FB2F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</w:rPr>
              <w:t>Realizacija:</w:t>
            </w: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20</w:t>
            </w:r>
            <w:r w:rsidR="00FB2F5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</w:t>
            </w:r>
          </w:p>
        </w:tc>
        <w:tc>
          <w:tcPr>
            <w:tcW w:w="850" w:type="dxa"/>
          </w:tcPr>
          <w:p w:rsidR="00767B3C" w:rsidRPr="00767B3C" w:rsidRDefault="00767B3C" w:rsidP="00FB2F5F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Načrt: 20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</w:t>
            </w:r>
            <w:r w:rsidR="00FB2F5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</w:t>
            </w:r>
          </w:p>
        </w:tc>
      </w:tr>
      <w:tr w:rsidR="00767B3C" w:rsidRPr="00767B3C" w:rsidTr="00767B3C">
        <w:tc>
          <w:tcPr>
            <w:tcW w:w="4820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2.628 enot gradiva v razmerju:</w:t>
            </w:r>
          </w:p>
          <w:p w:rsidR="00767B3C" w:rsidRPr="00767B3C" w:rsidRDefault="00FB2F5F" w:rsidP="00767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50 % leposlovje, 5</w:t>
            </w:r>
            <w:r w:rsidR="00767B3C"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0 % stroke, od tega 70 % za odrasle in 30 % za mladino</w:t>
            </w:r>
          </w:p>
        </w:tc>
        <w:tc>
          <w:tcPr>
            <w:tcW w:w="1276" w:type="dxa"/>
          </w:tcPr>
          <w:p w:rsidR="00767B3C" w:rsidRPr="00767B3C" w:rsidRDefault="005B589D" w:rsidP="00767B3C">
            <w:pPr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2.</w:t>
            </w:r>
            <w:r w:rsidR="00FB2F5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212</w:t>
            </w:r>
          </w:p>
          <w:p w:rsidR="00767B3C" w:rsidRPr="00767B3C" w:rsidRDefault="00767B3C" w:rsidP="00767B3C">
            <w:pPr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enot</w:t>
            </w:r>
          </w:p>
        </w:tc>
        <w:tc>
          <w:tcPr>
            <w:tcW w:w="850" w:type="dxa"/>
          </w:tcPr>
          <w:p w:rsidR="00767B3C" w:rsidRPr="00767B3C" w:rsidRDefault="00767B3C" w:rsidP="00767B3C">
            <w:pPr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3.450</w:t>
            </w: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enot</w:t>
            </w:r>
          </w:p>
        </w:tc>
        <w:tc>
          <w:tcPr>
            <w:tcW w:w="1276" w:type="dxa"/>
          </w:tcPr>
          <w:p w:rsidR="00767B3C" w:rsidRPr="00767B3C" w:rsidRDefault="00767B3C" w:rsidP="00767B3C">
            <w:pPr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2.</w:t>
            </w:r>
            <w:r w:rsidR="00FB2F5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408</w:t>
            </w: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</w:p>
          <w:p w:rsidR="00767B3C" w:rsidRPr="00767B3C" w:rsidRDefault="00767B3C" w:rsidP="00767B3C">
            <w:pPr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enot</w:t>
            </w:r>
          </w:p>
        </w:tc>
        <w:tc>
          <w:tcPr>
            <w:tcW w:w="850" w:type="dxa"/>
          </w:tcPr>
          <w:p w:rsidR="00767B3C" w:rsidRPr="00767B3C" w:rsidRDefault="00196465" w:rsidP="00FB2F5F">
            <w:pPr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2.</w:t>
            </w:r>
            <w:r w:rsidR="00FB2F5F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510</w:t>
            </w:r>
            <w:r w:rsidR="00767B3C"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enot</w:t>
            </w:r>
            <w:proofErr w:type="spellEnd"/>
          </w:p>
        </w:tc>
      </w:tr>
    </w:tbl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keepNext/>
        <w:keepLines/>
        <w:numPr>
          <w:ilvl w:val="2"/>
          <w:numId w:val="0"/>
        </w:numPr>
        <w:spacing w:after="240" w:line="36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</w:pPr>
      <w:bookmarkStart w:id="35" w:name="_Toc387764559"/>
      <w:bookmarkStart w:id="36" w:name="_Toc444196635"/>
      <w:bookmarkStart w:id="37" w:name="_Toc484153502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>Strokovna obdelava gradiva,  dostopnost knjižničnega gradiva</w:t>
      </w:r>
      <w:bookmarkEnd w:id="35"/>
      <w:bookmarkEnd w:id="36"/>
      <w:bookmarkEnd w:id="37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Cilji: povečati število zaposlenih (z</w:t>
      </w:r>
      <w:r w:rsidR="00FB2F5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0,50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strokov</w:t>
      </w:r>
      <w:r w:rsidR="00FB2F5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nega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delavc</w:t>
      </w:r>
      <w:r w:rsidR="00FB2F5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</w:t>
      </w:r>
      <w:r w:rsidR="005B589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; pridobiti licenco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kreatorja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bibliografskih zapisov, povečati obisk uporabnikov knjižnice in član</w:t>
      </w:r>
      <w:r w:rsidR="00FB2F5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ov, izposojo gradiva in povečati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tedensko odprtost  </w:t>
      </w:r>
      <w:r w:rsidR="00FB2F5F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enote Ponikva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767B3C" w:rsidRPr="00767B3C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lastRenderedPageBreak/>
        <w:t>Kupljeno gradivo bomo strokovno obdelali. Tako bo postalo javno dostopno za izposojo uporabnikom knjižnice. Pri izvajanju javne knjižnične službe bomo  uporabnikom svetovali in  nudili pomoč pri izbiri in izposoji gradiva. V skladu z Zakonom o knjižničarstvu bomo izvajali informacijsko in dokumentacijsko delo, zbirali, obdelovali, posredovali, hranili in digitalizirali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</w:rPr>
        <w:t xml:space="preserve"> 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domoznansko gradivo, oblikovali vzajemnem katalog COBISS+ in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mCOBISS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z vnosom podatkov o kupljenem gradivu, sodelovali in vzdrževali bomo stike s sorodnimi institucijami ter zagotavljali dostopnosti in uporabo gradiv javnih oblasti.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elamre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417"/>
        <w:gridCol w:w="992"/>
        <w:gridCol w:w="1418"/>
        <w:gridCol w:w="992"/>
      </w:tblGrid>
      <w:tr w:rsidR="00767B3C" w:rsidRPr="00767B3C" w:rsidTr="00767B3C">
        <w:trPr>
          <w:trHeight w:val="90"/>
        </w:trPr>
        <w:tc>
          <w:tcPr>
            <w:tcW w:w="4253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Cilj: pisna obrazložitev</w:t>
            </w:r>
          </w:p>
        </w:tc>
        <w:tc>
          <w:tcPr>
            <w:tcW w:w="1417" w:type="dxa"/>
          </w:tcPr>
          <w:p w:rsidR="00767B3C" w:rsidRPr="00767B3C" w:rsidRDefault="00FB2F5F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Realizacija:  2019</w:t>
            </w:r>
          </w:p>
        </w:tc>
        <w:tc>
          <w:tcPr>
            <w:tcW w:w="992" w:type="dxa"/>
          </w:tcPr>
          <w:p w:rsidR="00767B3C" w:rsidRPr="00767B3C" w:rsidRDefault="00897EA6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Načrt: 2020</w:t>
            </w:r>
          </w:p>
        </w:tc>
        <w:tc>
          <w:tcPr>
            <w:tcW w:w="1418" w:type="dxa"/>
          </w:tcPr>
          <w:p w:rsidR="00767B3C" w:rsidRPr="00767B3C" w:rsidRDefault="005B589D" w:rsidP="00897EA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Realizacija: 20</w:t>
            </w:r>
            <w:r w:rsidR="00897EA6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767B3C" w:rsidRPr="00767B3C" w:rsidRDefault="00897EA6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Načrt: 2021</w:t>
            </w:r>
          </w:p>
        </w:tc>
      </w:tr>
      <w:tr w:rsidR="00767B3C" w:rsidRPr="00767B3C" w:rsidTr="00767B3C">
        <w:trPr>
          <w:trHeight w:val="90"/>
        </w:trPr>
        <w:tc>
          <w:tcPr>
            <w:tcW w:w="4253" w:type="dxa"/>
            <w:shd w:val="clear" w:color="auto" w:fill="F2F2F2" w:themeFill="background1" w:themeFillShade="F2"/>
          </w:tcPr>
          <w:p w:rsidR="00767B3C" w:rsidRPr="00767B3C" w:rsidRDefault="00767B3C" w:rsidP="00AA4CD3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Kadrovska zasedenost:</w:t>
            </w:r>
            <w:r w:rsidR="005B589D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61301E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  <w:r w:rsidR="005B589D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,50</w:t>
            </w: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knjižnica,  OE IKC</w:t>
            </w:r>
            <w:r w:rsidR="005B589D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2</w:t>
            </w: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:rsidR="00767B3C" w:rsidRPr="00767B3C" w:rsidRDefault="0083692B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767B3C" w:rsidRPr="00767B3C" w:rsidRDefault="001961C5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9,50</w:t>
            </w:r>
          </w:p>
        </w:tc>
        <w:tc>
          <w:tcPr>
            <w:tcW w:w="1418" w:type="dxa"/>
          </w:tcPr>
          <w:p w:rsidR="00767B3C" w:rsidRPr="00767B3C" w:rsidRDefault="001961C5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9,50</w:t>
            </w:r>
          </w:p>
        </w:tc>
        <w:tc>
          <w:tcPr>
            <w:tcW w:w="992" w:type="dxa"/>
          </w:tcPr>
          <w:p w:rsidR="00767B3C" w:rsidRPr="00767B3C" w:rsidRDefault="001961C5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9,50</w:t>
            </w:r>
          </w:p>
        </w:tc>
      </w:tr>
      <w:tr w:rsidR="00767B3C" w:rsidRPr="00767B3C" w:rsidTr="00767B3C">
        <w:trPr>
          <w:trHeight w:val="239"/>
        </w:trPr>
        <w:tc>
          <w:tcPr>
            <w:tcW w:w="4253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Št. uporabnikov knjižnice: dokumentiran fizični obisk</w:t>
            </w:r>
          </w:p>
        </w:tc>
        <w:tc>
          <w:tcPr>
            <w:tcW w:w="1417" w:type="dxa"/>
          </w:tcPr>
          <w:p w:rsidR="00767B3C" w:rsidRPr="00CA30E5" w:rsidRDefault="00897EA6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81.203</w:t>
            </w:r>
          </w:p>
        </w:tc>
        <w:tc>
          <w:tcPr>
            <w:tcW w:w="992" w:type="dxa"/>
          </w:tcPr>
          <w:p w:rsidR="00767B3C" w:rsidRPr="00CA30E5" w:rsidRDefault="0083692B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81.200</w:t>
            </w:r>
          </w:p>
        </w:tc>
        <w:tc>
          <w:tcPr>
            <w:tcW w:w="1418" w:type="dxa"/>
          </w:tcPr>
          <w:p w:rsidR="00767B3C" w:rsidRPr="00CA30E5" w:rsidRDefault="00897EA6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58.407</w:t>
            </w:r>
          </w:p>
        </w:tc>
        <w:tc>
          <w:tcPr>
            <w:tcW w:w="992" w:type="dxa"/>
          </w:tcPr>
          <w:p w:rsidR="00767B3C" w:rsidRPr="00CA30E5" w:rsidRDefault="0083692B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60.000</w:t>
            </w:r>
          </w:p>
        </w:tc>
      </w:tr>
      <w:tr w:rsidR="00767B3C" w:rsidRPr="00767B3C" w:rsidTr="00767B3C">
        <w:trPr>
          <w:trHeight w:val="239"/>
        </w:trPr>
        <w:tc>
          <w:tcPr>
            <w:tcW w:w="4253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Št. enot izposojenega gradiva</w:t>
            </w:r>
          </w:p>
        </w:tc>
        <w:tc>
          <w:tcPr>
            <w:tcW w:w="1417" w:type="dxa"/>
          </w:tcPr>
          <w:p w:rsidR="00767B3C" w:rsidRPr="00CA30E5" w:rsidRDefault="00897EA6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278.340</w:t>
            </w:r>
          </w:p>
        </w:tc>
        <w:tc>
          <w:tcPr>
            <w:tcW w:w="992" w:type="dxa"/>
          </w:tcPr>
          <w:p w:rsidR="00767B3C" w:rsidRPr="00CA30E5" w:rsidRDefault="0083692B" w:rsidP="00CA30E5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278.500</w:t>
            </w:r>
          </w:p>
        </w:tc>
        <w:tc>
          <w:tcPr>
            <w:tcW w:w="1418" w:type="dxa"/>
          </w:tcPr>
          <w:p w:rsidR="00767B3C" w:rsidRPr="00CA30E5" w:rsidRDefault="00897EA6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238.389</w:t>
            </w:r>
          </w:p>
        </w:tc>
        <w:tc>
          <w:tcPr>
            <w:tcW w:w="992" w:type="dxa"/>
          </w:tcPr>
          <w:p w:rsidR="00767B3C" w:rsidRPr="00CA30E5" w:rsidRDefault="0083692B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240.000</w:t>
            </w:r>
          </w:p>
        </w:tc>
      </w:tr>
      <w:tr w:rsidR="00767B3C" w:rsidRPr="00767B3C" w:rsidTr="00767B3C">
        <w:trPr>
          <w:trHeight w:val="239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49,50 ur načrtovane tedenske odprtosti  osrednje knjižnice, Mestni trg 5b</w:t>
            </w:r>
          </w:p>
        </w:tc>
        <w:tc>
          <w:tcPr>
            <w:tcW w:w="1417" w:type="dxa"/>
          </w:tcPr>
          <w:p w:rsidR="00767B3C" w:rsidRPr="00767B3C" w:rsidRDefault="00897EA6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49,50</w:t>
            </w:r>
          </w:p>
        </w:tc>
        <w:tc>
          <w:tcPr>
            <w:tcW w:w="992" w:type="dxa"/>
          </w:tcPr>
          <w:p w:rsidR="00767B3C" w:rsidRPr="00767B3C" w:rsidRDefault="00897EA6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49,50</w:t>
            </w:r>
          </w:p>
        </w:tc>
        <w:tc>
          <w:tcPr>
            <w:tcW w:w="1418" w:type="dxa"/>
          </w:tcPr>
          <w:p w:rsidR="00767B3C" w:rsidRPr="00767B3C" w:rsidRDefault="00897EA6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49,50</w:t>
            </w:r>
          </w:p>
        </w:tc>
        <w:tc>
          <w:tcPr>
            <w:tcW w:w="992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>49,50 ur</w:t>
            </w:r>
          </w:p>
        </w:tc>
      </w:tr>
    </w:tbl>
    <w:p w:rsidR="00767B3C" w:rsidRPr="00767B3C" w:rsidRDefault="00767B3C" w:rsidP="00767B3C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808080" w:themeColor="background1" w:themeShade="80"/>
          <w:sz w:val="24"/>
          <w:szCs w:val="24"/>
        </w:rPr>
      </w:pPr>
      <w:bookmarkStart w:id="38" w:name="_Toc387764560"/>
    </w:p>
    <w:p w:rsidR="00767B3C" w:rsidRPr="00767B3C" w:rsidRDefault="00767B3C" w:rsidP="00767B3C">
      <w:pPr>
        <w:keepNext/>
        <w:keepLines/>
        <w:numPr>
          <w:ilvl w:val="0"/>
          <w:numId w:val="9"/>
        </w:numPr>
        <w:spacing w:after="24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 xml:space="preserve">1. 3 COBISS+ in </w:t>
      </w:r>
      <w:proofErr w:type="spellStart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>mCOBISS</w:t>
      </w:r>
      <w:proofErr w:type="spellEnd"/>
    </w:p>
    <w:p w:rsidR="00767B3C" w:rsidRPr="00767B3C" w:rsidRDefault="00767B3C" w:rsidP="00767B3C">
      <w:pPr>
        <w:keepNext/>
        <w:keepLines/>
        <w:spacing w:after="240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 xml:space="preserve">Cilji: brezhibno delovanje COBISS+ in </w:t>
      </w:r>
      <w:proofErr w:type="spellStart"/>
      <w:r w:rsidRPr="00767B3C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>mCOBISS</w:t>
      </w:r>
      <w:proofErr w:type="spellEnd"/>
      <w:r w:rsidRPr="00767B3C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>.</w:t>
      </w:r>
    </w:p>
    <w:p w:rsidR="00767B3C" w:rsidRPr="00767B3C" w:rsidRDefault="00767B3C" w:rsidP="00767B3C">
      <w:pPr>
        <w:keepNext/>
        <w:keepLines/>
        <w:spacing w:after="240" w:line="360" w:lineRule="auto"/>
        <w:ind w:left="720"/>
        <w:jc w:val="both"/>
        <w:outlineLvl w:val="2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</w:pPr>
      <w:proofErr w:type="spellStart"/>
      <w:r w:rsidRPr="00767B3C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>mCOBISS</w:t>
      </w:r>
      <w:proofErr w:type="spellEnd"/>
      <w:r w:rsidRPr="00767B3C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 xml:space="preserve">  je</w:t>
      </w:r>
      <w:r w:rsidR="00CA30E5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 xml:space="preserve"> </w:t>
      </w:r>
      <w:r w:rsidRPr="00767B3C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>mobilnim napravam prilagojena različica</w:t>
      </w:r>
      <w:r w:rsidR="00CA30E5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 xml:space="preserve"> programa</w:t>
      </w:r>
      <w:r w:rsidRPr="00767B3C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 xml:space="preserve"> COBISS/OPAC-a in dopolnjuje Virtualno knjižnico Slovenije z večjo razpoložljivostjo in dostopnostjo e-storitev, ki jih ponuja sistem COBISS.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COBISS+ knjižnicam in uporabnikom knjižnic omogoča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online</w:t>
      </w:r>
      <w:proofErr w:type="spellEnd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dostop do naslednjih baz podatkov: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•</w:t>
      </w:r>
      <w:r w:rsidR="00CA30E5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</w:t>
      </w: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vzajemna bibliografsko-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kataložna</w:t>
      </w:r>
      <w:proofErr w:type="spellEnd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baza podatkov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COBIB.SI</w:t>
      </w:r>
      <w:proofErr w:type="spellEnd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– skupni katalog slovenskih knjižnic, ki sodelujejo v sistemu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COBISS.SI</w:t>
      </w:r>
      <w:proofErr w:type="spellEnd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•</w:t>
      </w:r>
      <w:r w:rsidR="00CA30E5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</w:t>
      </w: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lokalne baze podatkov – katalogi knjižnic v sistemu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COBISS.SI</w:t>
      </w:r>
      <w:proofErr w:type="spellEnd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•</w:t>
      </w:r>
      <w:r w:rsidR="00CA30E5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</w:t>
      </w: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druge baze podatkov v sistemu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COBISS.SI</w:t>
      </w:r>
      <w:proofErr w:type="spellEnd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– specializirane baze podatkov, ki so del sistema </w:t>
      </w:r>
      <w:proofErr w:type="spellStart"/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COBISS.SI</w:t>
      </w:r>
      <w:proofErr w:type="spellEnd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•</w:t>
      </w:r>
      <w:r w:rsidR="00CA30E5">
        <w:rPr>
          <w:rFonts w:ascii="Times New Roman" w:hAnsi="Times New Roman"/>
          <w:color w:val="808080" w:themeColor="background1" w:themeShade="80"/>
          <w:sz w:val="24"/>
          <w:lang w:eastAsia="sl-SI"/>
        </w:rPr>
        <w:t xml:space="preserve"> </w:t>
      </w: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t>drugi informacijski viri – tuje in domače specializirane baze podatkov</w:t>
      </w:r>
      <w:r w:rsidR="00222B69">
        <w:rPr>
          <w:rFonts w:ascii="Times New Roman" w:hAnsi="Times New Roman"/>
          <w:color w:val="808080" w:themeColor="background1" w:themeShade="80"/>
          <w:sz w:val="24"/>
          <w:lang w:eastAsia="sl-SI"/>
        </w:rPr>
        <w:t>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  <w:r w:rsidRPr="00767B3C">
        <w:rPr>
          <w:rFonts w:ascii="Times New Roman" w:hAnsi="Times New Roman"/>
          <w:color w:val="808080" w:themeColor="background1" w:themeShade="80"/>
          <w:sz w:val="24"/>
          <w:lang w:eastAsia="sl-SI"/>
        </w:rPr>
        <w:lastRenderedPageBreak/>
        <w:t>COBISS+ je namenjen vsem uporabnikom; raziskovalcem, učencem, študentom, staršem, profesorjem, upokojencem ... Torej vsakomur, ki išče relevantne informacije ali gradivo, ki je na voljo v slovenskih knjižnicah, tudi če gre za elektronsko gradivo.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  <w:lang w:eastAsia="sl-SI"/>
        </w:rPr>
      </w:pPr>
    </w:p>
    <w:p w:rsidR="00767B3C" w:rsidRPr="00767B3C" w:rsidRDefault="00767B3C" w:rsidP="00767B3C">
      <w:pPr>
        <w:keepNext/>
        <w:keepLines/>
        <w:numPr>
          <w:ilvl w:val="2"/>
          <w:numId w:val="0"/>
        </w:numPr>
        <w:spacing w:after="240" w:line="36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</w:pPr>
      <w:bookmarkStart w:id="39" w:name="_Toc444196637"/>
      <w:bookmarkStart w:id="40" w:name="_Toc484153504"/>
      <w:bookmarkEnd w:id="38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>Dostopnost storitev knjižnice</w:t>
      </w:r>
      <w:bookmarkEnd w:id="39"/>
      <w:bookmarkEnd w:id="40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Cilj: 4 ure tedenske odprtosti za</w:t>
      </w:r>
      <w:r w:rsidR="006130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vsako od organizacijskih enot je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minimum,</w:t>
      </w:r>
      <w:r w:rsidR="006130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če število prebivalcev območja ne presega 2.000 prebivalcev. 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6130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adrovska zasedenost</w:t>
      </w:r>
      <w:r w:rsidR="0061301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je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po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podjemnih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pogodbah (Ponikva); Dobje – povečan obseg dela, financer Občina Dobje.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elamrea"/>
        <w:tblW w:w="9464" w:type="dxa"/>
        <w:tblLayout w:type="fixed"/>
        <w:tblLook w:val="04A0" w:firstRow="1" w:lastRow="0" w:firstColumn="1" w:lastColumn="0" w:noHBand="0" w:noVBand="1"/>
      </w:tblPr>
      <w:tblGrid>
        <w:gridCol w:w="1271"/>
        <w:gridCol w:w="1814"/>
        <w:gridCol w:w="1594"/>
        <w:gridCol w:w="1595"/>
        <w:gridCol w:w="1595"/>
        <w:gridCol w:w="1595"/>
      </w:tblGrid>
      <w:tr w:rsidR="00767B3C" w:rsidRPr="00767B3C" w:rsidTr="00767B3C">
        <w:trPr>
          <w:trHeight w:val="96"/>
        </w:trPr>
        <w:tc>
          <w:tcPr>
            <w:tcW w:w="3085" w:type="dxa"/>
            <w:gridSpan w:val="2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pisna obrazložitev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767B3C" w:rsidRPr="00767B3C" w:rsidRDefault="0061301E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  2019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B3C" w:rsidRPr="00767B3C" w:rsidRDefault="0061301E" w:rsidP="00222B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Načrt: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  <w:t>2020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B3C" w:rsidRPr="00767B3C" w:rsidRDefault="0061301E" w:rsidP="00222B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2020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767B3C" w:rsidRPr="00767B3C" w:rsidRDefault="00767B3C" w:rsidP="00222B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Načrt: </w:t>
            </w: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  <w:t>20</w:t>
            </w:r>
            <w:r w:rsidR="0061301E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21</w:t>
            </w:r>
          </w:p>
        </w:tc>
      </w:tr>
      <w:tr w:rsidR="00767B3C" w:rsidRPr="00767B3C" w:rsidTr="00767B3C">
        <w:trPr>
          <w:trHeight w:val="540"/>
        </w:trPr>
        <w:tc>
          <w:tcPr>
            <w:tcW w:w="1271" w:type="dxa"/>
            <w:vMerge w:val="restart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 xml:space="preserve">4 ure tedenske odprtosti  </w:t>
            </w:r>
          </w:p>
          <w:p w:rsidR="00767B3C" w:rsidRPr="00767B3C" w:rsidRDefault="00767B3C" w:rsidP="00767B3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Ponikva</w:t>
            </w:r>
          </w:p>
          <w:p w:rsidR="00767B3C" w:rsidRPr="00767B3C" w:rsidRDefault="00767B3C" w:rsidP="00767B3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  <w:tc>
          <w:tcPr>
            <w:tcW w:w="1595" w:type="dxa"/>
            <w:tcBorders>
              <w:top w:val="nil"/>
            </w:tcBorders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  <w:tc>
          <w:tcPr>
            <w:tcW w:w="1595" w:type="dxa"/>
            <w:tcBorders>
              <w:top w:val="nil"/>
            </w:tcBorders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  <w:tc>
          <w:tcPr>
            <w:tcW w:w="1595" w:type="dxa"/>
            <w:tcBorders>
              <w:top w:val="nil"/>
            </w:tcBorders>
          </w:tcPr>
          <w:p w:rsidR="00767B3C" w:rsidRPr="00767B3C" w:rsidRDefault="0061301E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15</w:t>
            </w:r>
            <w:r w:rsidR="00767B3C"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ure</w:t>
            </w:r>
          </w:p>
        </w:tc>
      </w:tr>
      <w:tr w:rsidR="00767B3C" w:rsidRPr="00767B3C" w:rsidTr="00767B3C">
        <w:trPr>
          <w:trHeight w:val="270"/>
        </w:trPr>
        <w:tc>
          <w:tcPr>
            <w:tcW w:w="1271" w:type="dxa"/>
            <w:vMerge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Planina</w:t>
            </w:r>
          </w:p>
          <w:p w:rsidR="00767B3C" w:rsidRPr="00767B3C" w:rsidRDefault="00767B3C" w:rsidP="00767B3C">
            <w:pPr>
              <w:spacing w:line="360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594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 ure</w:t>
            </w:r>
          </w:p>
        </w:tc>
      </w:tr>
      <w:tr w:rsidR="00767B3C" w:rsidRPr="00767B3C" w:rsidTr="00767B3C">
        <w:trPr>
          <w:trHeight w:val="270"/>
        </w:trPr>
        <w:tc>
          <w:tcPr>
            <w:tcW w:w="1271" w:type="dxa"/>
            <w:vMerge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ind w:left="720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</w:p>
        </w:tc>
        <w:tc>
          <w:tcPr>
            <w:tcW w:w="1814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ind w:left="720"/>
              <w:contextualSpacing/>
              <w:jc w:val="right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Dobje</w:t>
            </w:r>
          </w:p>
        </w:tc>
        <w:tc>
          <w:tcPr>
            <w:tcW w:w="1594" w:type="dxa"/>
          </w:tcPr>
          <w:p w:rsidR="00767B3C" w:rsidRPr="00767B3C" w:rsidRDefault="00222B69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5,00</w:t>
            </w:r>
            <w:r w:rsidR="00767B3C"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ure</w:t>
            </w:r>
          </w:p>
        </w:tc>
        <w:tc>
          <w:tcPr>
            <w:tcW w:w="1595" w:type="dxa"/>
          </w:tcPr>
          <w:p w:rsidR="00767B3C" w:rsidRPr="00767B3C" w:rsidRDefault="00222B69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5,00</w:t>
            </w:r>
            <w:r w:rsidR="00767B3C"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ure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 ur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 ur</w:t>
            </w:r>
          </w:p>
        </w:tc>
      </w:tr>
    </w:tbl>
    <w:p w:rsidR="00767B3C" w:rsidRPr="00767B3C" w:rsidRDefault="00767B3C" w:rsidP="00767B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keepNext/>
        <w:keepLines/>
        <w:numPr>
          <w:ilvl w:val="2"/>
          <w:numId w:val="0"/>
        </w:numPr>
        <w:spacing w:after="240" w:line="36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</w:pPr>
      <w:bookmarkStart w:id="41" w:name="_Toc387764561"/>
      <w:bookmarkStart w:id="42" w:name="_Toc444196638"/>
      <w:bookmarkStart w:id="43" w:name="_Toc484153505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>Medknjižnična izposoja gradiva</w:t>
      </w:r>
      <w:bookmarkEnd w:id="41"/>
      <w:bookmarkEnd w:id="42"/>
      <w:bookmarkEnd w:id="43"/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Cilji: izvajati izposojo gradiva med knjižnicami</w:t>
      </w:r>
    </w:p>
    <w:p w:rsidR="00767B3C" w:rsidRPr="00767B3C" w:rsidRDefault="00222B69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 letu 20</w:t>
      </w:r>
      <w:r w:rsidR="001964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20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1964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bo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medknjižnična izposoja za strokovno gradivo med </w:t>
      </w:r>
      <w:r w:rsidR="001964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12 knjižnicami na Celjskem 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brezplačna. </w:t>
      </w:r>
    </w:p>
    <w:tbl>
      <w:tblPr>
        <w:tblStyle w:val="Tabelamrea"/>
        <w:tblW w:w="9073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559"/>
        <w:gridCol w:w="1701"/>
        <w:gridCol w:w="1452"/>
      </w:tblGrid>
      <w:tr w:rsidR="00767B3C" w:rsidRPr="00767B3C" w:rsidTr="00767B3C">
        <w:trPr>
          <w:trHeight w:val="96"/>
        </w:trPr>
        <w:tc>
          <w:tcPr>
            <w:tcW w:w="2802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pisna obrazložitev</w:t>
            </w:r>
          </w:p>
        </w:tc>
        <w:tc>
          <w:tcPr>
            <w:tcW w:w="1559" w:type="dxa"/>
          </w:tcPr>
          <w:p w:rsidR="00767B3C" w:rsidRPr="00767B3C" w:rsidRDefault="00222B69" w:rsidP="003E422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201</w:t>
            </w:r>
            <w:r w:rsidR="003E422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</w:t>
            </w:r>
          </w:p>
        </w:tc>
        <w:tc>
          <w:tcPr>
            <w:tcW w:w="1559" w:type="dxa"/>
          </w:tcPr>
          <w:p w:rsidR="00767B3C" w:rsidRPr="00767B3C" w:rsidRDefault="00222B69" w:rsidP="003E422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Načrt: 20</w:t>
            </w:r>
            <w:r w:rsidR="003E422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</w:t>
            </w:r>
          </w:p>
        </w:tc>
        <w:tc>
          <w:tcPr>
            <w:tcW w:w="1701" w:type="dxa"/>
          </w:tcPr>
          <w:p w:rsidR="00767B3C" w:rsidRPr="00767B3C" w:rsidRDefault="00222B69" w:rsidP="003E422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20</w:t>
            </w:r>
            <w:r w:rsidR="003E422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</w:t>
            </w:r>
          </w:p>
        </w:tc>
        <w:tc>
          <w:tcPr>
            <w:tcW w:w="1452" w:type="dxa"/>
          </w:tcPr>
          <w:p w:rsidR="00767B3C" w:rsidRPr="00767B3C" w:rsidRDefault="00767B3C" w:rsidP="00222B6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Načrt: 20</w:t>
            </w:r>
            <w:r w:rsidR="003E422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21</w:t>
            </w:r>
          </w:p>
        </w:tc>
      </w:tr>
      <w:tr w:rsidR="00767B3C" w:rsidRPr="00767B3C" w:rsidTr="00767B3C">
        <w:trPr>
          <w:trHeight w:val="540"/>
        </w:trPr>
        <w:tc>
          <w:tcPr>
            <w:tcW w:w="2802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Izposoja gradiva iz knjižnic</w:t>
            </w:r>
          </w:p>
        </w:tc>
        <w:tc>
          <w:tcPr>
            <w:tcW w:w="1559" w:type="dxa"/>
          </w:tcPr>
          <w:p w:rsidR="00AA4CD3" w:rsidRDefault="00AA4CD3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767B3C" w:rsidRDefault="003E4228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69</w:t>
            </w:r>
          </w:p>
        </w:tc>
        <w:tc>
          <w:tcPr>
            <w:tcW w:w="1559" w:type="dxa"/>
          </w:tcPr>
          <w:p w:rsidR="00767B3C" w:rsidRDefault="00767B3C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3E4228" w:rsidRPr="00767B3C" w:rsidRDefault="003E4228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50</w:t>
            </w:r>
          </w:p>
        </w:tc>
        <w:tc>
          <w:tcPr>
            <w:tcW w:w="1701" w:type="dxa"/>
          </w:tcPr>
          <w:p w:rsidR="00222B69" w:rsidRDefault="00222B69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3E4228" w:rsidRPr="00767B3C" w:rsidRDefault="003E4228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48</w:t>
            </w:r>
          </w:p>
        </w:tc>
        <w:tc>
          <w:tcPr>
            <w:tcW w:w="1452" w:type="dxa"/>
          </w:tcPr>
          <w:p w:rsidR="00767B3C" w:rsidRDefault="00767B3C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222B69" w:rsidRPr="00767B3C" w:rsidRDefault="00222B69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65</w:t>
            </w:r>
          </w:p>
        </w:tc>
      </w:tr>
      <w:tr w:rsidR="00767B3C" w:rsidRPr="00767B3C" w:rsidTr="00767B3C">
        <w:trPr>
          <w:trHeight w:val="540"/>
        </w:trPr>
        <w:tc>
          <w:tcPr>
            <w:tcW w:w="2802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 xml:space="preserve">Posoja gradiva v druge knjižnice </w:t>
            </w:r>
          </w:p>
        </w:tc>
        <w:tc>
          <w:tcPr>
            <w:tcW w:w="1559" w:type="dxa"/>
          </w:tcPr>
          <w:p w:rsidR="00767B3C" w:rsidRPr="00767B3C" w:rsidRDefault="00767B3C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767B3C" w:rsidRDefault="003E4228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143</w:t>
            </w:r>
          </w:p>
        </w:tc>
        <w:tc>
          <w:tcPr>
            <w:tcW w:w="1559" w:type="dxa"/>
          </w:tcPr>
          <w:p w:rsidR="00767B3C" w:rsidRDefault="00767B3C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3E4228" w:rsidRPr="00767B3C" w:rsidRDefault="003E4228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100</w:t>
            </w:r>
          </w:p>
        </w:tc>
        <w:tc>
          <w:tcPr>
            <w:tcW w:w="1701" w:type="dxa"/>
          </w:tcPr>
          <w:p w:rsidR="00222B69" w:rsidRDefault="00222B69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3E4228" w:rsidRPr="00767B3C" w:rsidRDefault="003E4228" w:rsidP="00222B6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95</w:t>
            </w:r>
          </w:p>
        </w:tc>
        <w:tc>
          <w:tcPr>
            <w:tcW w:w="1452" w:type="dxa"/>
          </w:tcPr>
          <w:p w:rsidR="00767B3C" w:rsidRDefault="00767B3C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222B69" w:rsidRPr="00767B3C" w:rsidRDefault="003E4228" w:rsidP="003E422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130</w:t>
            </w:r>
          </w:p>
        </w:tc>
      </w:tr>
    </w:tbl>
    <w:p w:rsidR="00767B3C" w:rsidRPr="00767B3C" w:rsidRDefault="00767B3C" w:rsidP="00767B3C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color w:val="808080" w:themeColor="background1" w:themeShade="80"/>
          <w:sz w:val="24"/>
        </w:rPr>
      </w:pPr>
    </w:p>
    <w:p w:rsidR="00767B3C" w:rsidRPr="00767B3C" w:rsidRDefault="00767B3C" w:rsidP="00767B3C">
      <w:pPr>
        <w:keepNext/>
        <w:keepLines/>
        <w:numPr>
          <w:ilvl w:val="2"/>
          <w:numId w:val="0"/>
        </w:numPr>
        <w:spacing w:after="240" w:line="36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</w:pPr>
      <w:bookmarkStart w:id="44" w:name="_Toc387764562"/>
      <w:bookmarkStart w:id="45" w:name="_Toc444196639"/>
      <w:bookmarkStart w:id="46" w:name="_Toc484153506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lastRenderedPageBreak/>
        <w:t>Kadrovski načrt  in strokovno izobraževanje zaposlenih</w:t>
      </w:r>
      <w:bookmarkEnd w:id="44"/>
      <w:bookmarkEnd w:id="45"/>
      <w:bookmarkEnd w:id="46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 xml:space="preserve">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Cilj:  </w:t>
      </w:r>
      <w:r w:rsidR="00222B69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10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,00 zaposlenih.</w:t>
      </w:r>
    </w:p>
    <w:p w:rsidR="00767B3C" w:rsidRPr="00767B3C" w:rsidRDefault="00DA4128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Predvideno je število dni za izobraževanje glede na stopnjo izobrazbe. Sodelavka </w:t>
      </w:r>
      <w:r w:rsidR="0070258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obisk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uje</w:t>
      </w:r>
      <w:r w:rsidR="0070258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dopolnilno izobraževanje na Oddelku za </w:t>
      </w:r>
      <w:proofErr w:type="spellStart"/>
      <w:r w:rsidR="00702581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bibliotekarstvo</w:t>
      </w:r>
      <w:proofErr w:type="spellEnd"/>
      <w:r w:rsidR="008674C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informacijsko znanost</w:t>
      </w:r>
      <w:r w:rsidR="005940B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</w:t>
      </w:r>
      <w:proofErr w:type="spellStart"/>
      <w:r w:rsidR="005940B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knjigarstvo</w:t>
      </w:r>
      <w:proofErr w:type="spellEnd"/>
      <w:r w:rsidR="005940B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, </w:t>
      </w:r>
      <w:r w:rsidR="008674CE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Filozofske fakultete v Ljubljani.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Druga sodelavka bo pridobila licenco kreiranja zapisov. </w:t>
      </w:r>
    </w:p>
    <w:tbl>
      <w:tblPr>
        <w:tblStyle w:val="Tabelamrea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1594"/>
        <w:gridCol w:w="1595"/>
        <w:gridCol w:w="1595"/>
        <w:gridCol w:w="1595"/>
      </w:tblGrid>
      <w:tr w:rsidR="00767B3C" w:rsidRPr="00767B3C" w:rsidTr="00767B3C">
        <w:trPr>
          <w:trHeight w:val="77"/>
        </w:trPr>
        <w:tc>
          <w:tcPr>
            <w:tcW w:w="2694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pisna obrazložitev</w:t>
            </w:r>
          </w:p>
        </w:tc>
        <w:tc>
          <w:tcPr>
            <w:tcW w:w="1594" w:type="dxa"/>
          </w:tcPr>
          <w:p w:rsidR="00767B3C" w:rsidRPr="00767B3C" w:rsidRDefault="00DA412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 2019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Načrt: </w:t>
            </w:r>
          </w:p>
          <w:p w:rsidR="00767B3C" w:rsidRPr="00767B3C" w:rsidRDefault="00DA412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2020</w:t>
            </w:r>
          </w:p>
        </w:tc>
        <w:tc>
          <w:tcPr>
            <w:tcW w:w="1595" w:type="dxa"/>
          </w:tcPr>
          <w:p w:rsidR="00767B3C" w:rsidRPr="00767B3C" w:rsidRDefault="00DA412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2020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Načrt: </w:t>
            </w:r>
          </w:p>
          <w:p w:rsidR="00767B3C" w:rsidRPr="00767B3C" w:rsidRDefault="00DA412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2021</w:t>
            </w:r>
          </w:p>
        </w:tc>
      </w:tr>
      <w:tr w:rsidR="00767B3C" w:rsidRPr="00767B3C" w:rsidTr="00767B3C">
        <w:trPr>
          <w:trHeight w:val="77"/>
        </w:trPr>
        <w:tc>
          <w:tcPr>
            <w:tcW w:w="2694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Strokovno izobraževanje zaposlenih</w:t>
            </w:r>
          </w:p>
        </w:tc>
        <w:tc>
          <w:tcPr>
            <w:tcW w:w="1594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767B3C" w:rsidRDefault="00222B69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41</w:t>
            </w:r>
            <w:r w:rsidR="00767B3C"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dni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222B69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</w:p>
          <w:p w:rsidR="00767B3C" w:rsidRPr="00767B3C" w:rsidRDefault="00702581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41 </w:t>
            </w:r>
            <w:r w:rsidR="00767B3C"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dni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  <w:r w:rsidR="00702581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45 </w:t>
            </w: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dni</w:t>
            </w:r>
          </w:p>
        </w:tc>
        <w:tc>
          <w:tcPr>
            <w:tcW w:w="1595" w:type="dxa"/>
          </w:tcPr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767B3C" w:rsidRDefault="00767B3C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</w:p>
          <w:p w:rsidR="00767B3C" w:rsidRPr="00767B3C" w:rsidRDefault="00767B3C" w:rsidP="00786D8E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  <w:r w:rsidR="00786D8E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40</w:t>
            </w:r>
            <w:r w:rsidR="00702581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dni</w:t>
            </w:r>
          </w:p>
        </w:tc>
      </w:tr>
    </w:tbl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767B3C" w:rsidRDefault="00767B3C" w:rsidP="00767B3C">
      <w:pPr>
        <w:keepNext/>
        <w:keepLines/>
        <w:numPr>
          <w:ilvl w:val="2"/>
          <w:numId w:val="0"/>
        </w:numPr>
        <w:spacing w:after="240" w:line="36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</w:pPr>
      <w:bookmarkStart w:id="47" w:name="_Toc387764563"/>
      <w:bookmarkStart w:id="48" w:name="_Toc444196640"/>
      <w:bookmarkStart w:id="49" w:name="_Toc484153507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 xml:space="preserve">Izvajanje oblik </w:t>
      </w:r>
      <w:bookmarkEnd w:id="47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>bralne kulture</w:t>
      </w:r>
      <w:bookmarkEnd w:id="48"/>
      <w:bookmarkEnd w:id="49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 xml:space="preserve"> </w:t>
      </w:r>
    </w:p>
    <w:p w:rsidR="002635BB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Cilji: izvedba </w:t>
      </w:r>
      <w:r w:rsidR="005940B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1</w:t>
      </w:r>
      <w:r w:rsidR="00DA412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0 dogodkov in kulturnih</w:t>
      </w:r>
      <w:r w:rsidR="00CC22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prireditev Knjižnice Šentjur; </w:t>
      </w:r>
      <w:r w:rsidR="00AA4CD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če ne bo omejitev  preprečevanja</w:t>
      </w:r>
    </w:p>
    <w:p w:rsidR="002635BB" w:rsidRDefault="002635BB" w:rsidP="00767B3C">
      <w:pPr>
        <w:spacing w:after="0"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196465" w:rsidRPr="00CC22E7" w:rsidRDefault="00CC22E7" w:rsidP="00767B3C">
      <w:pPr>
        <w:spacing w:after="0"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CC22E7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širjenja COVID-19.</w:t>
      </w:r>
      <w:r w:rsidR="000D0120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Če omejitve bodo, bomo dogodke posneli in jih predvajali na socialnih omrežjih.  </w:t>
      </w:r>
    </w:p>
    <w:p w:rsidR="00CC22E7" w:rsidRPr="00767B3C" w:rsidRDefault="00767B3C" w:rsidP="00CC22E7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Večina javnih prireditev bo izvedenih na lokaciji Ipavčevega kulturnega centra. Te</w:t>
      </w:r>
      <w:r w:rsidR="005940B6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matski sklopi javnih prireditev:</w:t>
      </w:r>
      <w:r w:rsidR="00DA4128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literarni večeri, različna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predavanja, delavnice, razstave (literarne, likovne, fotografske, zgodovinske v knjižnici), ure pravljic, kvizi, knjižne uganke,</w:t>
      </w:r>
      <w:r w:rsidR="00CC22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bralna značka za odrasle in otroke …</w:t>
      </w:r>
      <w:r w:rsidR="00CC22E7" w:rsidRPr="00CC22E7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CC22E7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V sodelovanju tudi z drugimi zavodi bomo organizirali za otroke, mladino, odrasle in za osebe s posebnimi potrebami dogodke in javne prireditve, ki so namenjene spodbujanju bralne kulture, izvajanju oblik vseživljenjskega izobraževanja in promociji knjižnične dejavnosti ter izvajanju projektov s področja izobraževanja in umetnosti. </w:t>
      </w:r>
    </w:p>
    <w:p w:rsidR="00CC22E7" w:rsidRDefault="00CC22E7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2D2AB8" w:rsidRDefault="00CC22E7" w:rsidP="00CC22E7">
      <w:pPr>
        <w:spacing w:after="0"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2D2AB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Vlada RS je s sklepom razglasila leto 2021 za Leto Josipa Ipavca in Josipa Jurčiča. V letošnjem letu se spominjamo 100. obletnice smrti zdravnika in skladatelja Josipa Ipavca, našega rojaka. Tej pomembni obletnici bomo</w:t>
      </w:r>
      <w:r w:rsidR="009D46F8" w:rsidRPr="002D2AB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skupaj z nacionalnimi institucijami (RTV SLO, MK</w:t>
      </w:r>
      <w:r w:rsidR="000D0120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RS</w:t>
      </w:r>
      <w:r w:rsidR="009D46F8" w:rsidRPr="002D2AB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,</w:t>
      </w:r>
      <w:r w:rsidR="00A048D9" w:rsidRPr="002D2AB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Koroški pokrajinski muzej,</w:t>
      </w:r>
      <w:r w:rsidR="009D46F8" w:rsidRPr="002D2AB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="000D0120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Narodna univerzitetna knjižnica </w:t>
      </w:r>
      <w:proofErr w:type="spellStart"/>
      <w:r w:rsidR="000D0120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Ljubljanana</w:t>
      </w:r>
      <w:proofErr w:type="spellEnd"/>
      <w:r w:rsidR="009D46F8" w:rsidRPr="002D2AB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 in</w:t>
      </w:r>
      <w:r w:rsidRPr="002D2AB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</w:t>
      </w:r>
      <w:r w:rsidR="009D46F8" w:rsidRPr="002D2AB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 SNG Opera in balet Ljubljana) </w:t>
      </w:r>
      <w:r w:rsidRPr="002D2AB8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z dejavnostmi namenili veliko pozornosti:</w:t>
      </w:r>
    </w:p>
    <w:p w:rsidR="009D46F8" w:rsidRPr="002D2AB8" w:rsidRDefault="009D46F8" w:rsidP="009D46F8">
      <w:pPr>
        <w:pStyle w:val="Odstavekseznama"/>
        <w:numPr>
          <w:ilvl w:val="0"/>
          <w:numId w:val="11"/>
        </w:numPr>
        <w:rPr>
          <w:rFonts w:cs="Times New Roman"/>
          <w:b/>
          <w:szCs w:val="24"/>
        </w:rPr>
      </w:pPr>
      <w:proofErr w:type="spellStart"/>
      <w:r w:rsidRPr="002D2AB8">
        <w:rPr>
          <w:rFonts w:cs="Times New Roman"/>
          <w:b/>
          <w:szCs w:val="24"/>
        </w:rPr>
        <w:lastRenderedPageBreak/>
        <w:t>Sozaložništvo</w:t>
      </w:r>
      <w:proofErr w:type="spellEnd"/>
      <w:r w:rsidRPr="002D2AB8">
        <w:rPr>
          <w:rFonts w:cs="Times New Roman"/>
          <w:b/>
          <w:szCs w:val="24"/>
        </w:rPr>
        <w:t xml:space="preserve"> in predstavitev knjige ddr. Igorja Grdine:</w:t>
      </w:r>
      <w:r w:rsidR="00654DF6">
        <w:rPr>
          <w:rFonts w:cs="Times New Roman"/>
          <w:b/>
          <w:szCs w:val="24"/>
        </w:rPr>
        <w:t xml:space="preserve"> </w:t>
      </w:r>
      <w:r w:rsidRPr="002D2AB8">
        <w:rPr>
          <w:rFonts w:cs="Times New Roman"/>
          <w:b/>
          <w:szCs w:val="24"/>
        </w:rPr>
        <w:t>Slovenski Mozart: knjiga o Josipu Ipavcu (februar);</w:t>
      </w:r>
    </w:p>
    <w:p w:rsidR="009D46F8" w:rsidRPr="002D2AB8" w:rsidRDefault="009D46F8" w:rsidP="009D46F8">
      <w:pPr>
        <w:pStyle w:val="Odstavekseznama"/>
        <w:numPr>
          <w:ilvl w:val="0"/>
          <w:numId w:val="11"/>
        </w:numPr>
        <w:rPr>
          <w:rFonts w:cs="Times New Roman"/>
          <w:b/>
          <w:szCs w:val="24"/>
        </w:rPr>
      </w:pPr>
      <w:r w:rsidRPr="002D2AB8">
        <w:rPr>
          <w:rFonts w:cs="Times New Roman"/>
          <w:b/>
          <w:szCs w:val="24"/>
        </w:rPr>
        <w:t>Likovna razstava PANDEMONIUM, Anže Ipavic, pravnuk Josipa Ipavca (februar);</w:t>
      </w:r>
    </w:p>
    <w:p w:rsidR="009D46F8" w:rsidRPr="002D2AB8" w:rsidRDefault="009D46F8" w:rsidP="009D46F8">
      <w:pPr>
        <w:pStyle w:val="Odstavekseznama"/>
        <w:numPr>
          <w:ilvl w:val="0"/>
          <w:numId w:val="11"/>
        </w:numPr>
        <w:rPr>
          <w:rFonts w:cs="Times New Roman"/>
          <w:b/>
          <w:szCs w:val="24"/>
        </w:rPr>
      </w:pPr>
      <w:r w:rsidRPr="002D2AB8">
        <w:rPr>
          <w:rFonts w:cs="Times New Roman"/>
          <w:b/>
          <w:szCs w:val="24"/>
        </w:rPr>
        <w:t>Razstava predlogov za celostno grafično rešitev logotipa za Leto Josipa Ipavca 2021, MK RS (april);</w:t>
      </w:r>
    </w:p>
    <w:p w:rsidR="009D46F8" w:rsidRPr="002D2AB8" w:rsidRDefault="009D46F8" w:rsidP="009D46F8">
      <w:pPr>
        <w:pStyle w:val="Odstavekseznama"/>
        <w:numPr>
          <w:ilvl w:val="0"/>
          <w:numId w:val="11"/>
        </w:numPr>
        <w:rPr>
          <w:rFonts w:cs="Times New Roman"/>
          <w:b/>
          <w:szCs w:val="24"/>
        </w:rPr>
      </w:pPr>
      <w:r w:rsidRPr="002D2AB8">
        <w:rPr>
          <w:rFonts w:cs="Times New Roman"/>
          <w:b/>
          <w:szCs w:val="24"/>
        </w:rPr>
        <w:t xml:space="preserve">RTV in Knjižnica Šentjur snemanje glasbene oddaje Divja roža in </w:t>
      </w:r>
      <w:proofErr w:type="spellStart"/>
      <w:r w:rsidRPr="002D2AB8">
        <w:rPr>
          <w:rFonts w:cs="Times New Roman"/>
          <w:b/>
          <w:szCs w:val="24"/>
        </w:rPr>
        <w:t>bršla</w:t>
      </w:r>
      <w:r w:rsidR="00647A96">
        <w:rPr>
          <w:rFonts w:cs="Times New Roman"/>
          <w:b/>
          <w:szCs w:val="24"/>
        </w:rPr>
        <w:t>n</w:t>
      </w:r>
      <w:proofErr w:type="spellEnd"/>
      <w:r w:rsidRPr="002D2AB8">
        <w:rPr>
          <w:rFonts w:cs="Times New Roman"/>
          <w:b/>
          <w:szCs w:val="24"/>
        </w:rPr>
        <w:t>. Samospevi</w:t>
      </w:r>
      <w:r>
        <w:rPr>
          <w:rFonts w:cs="Times New Roman"/>
          <w:szCs w:val="24"/>
        </w:rPr>
        <w:t xml:space="preserve"> </w:t>
      </w:r>
      <w:r w:rsidRPr="002D2AB8">
        <w:rPr>
          <w:rFonts w:cs="Times New Roman"/>
          <w:b/>
          <w:szCs w:val="24"/>
        </w:rPr>
        <w:t xml:space="preserve">Josipa Ipavca v izvedbi Urške Arlič </w:t>
      </w:r>
      <w:proofErr w:type="spellStart"/>
      <w:r w:rsidRPr="002D2AB8">
        <w:rPr>
          <w:rFonts w:cs="Times New Roman"/>
          <w:b/>
          <w:szCs w:val="24"/>
        </w:rPr>
        <w:t>Gololičič</w:t>
      </w:r>
      <w:proofErr w:type="spellEnd"/>
      <w:r w:rsidRPr="002D2AB8">
        <w:rPr>
          <w:rFonts w:cs="Times New Roman"/>
          <w:b/>
          <w:szCs w:val="24"/>
        </w:rPr>
        <w:t xml:space="preserve"> in pianista Marka Hribernika</w:t>
      </w:r>
      <w:r w:rsidR="00A048D9" w:rsidRPr="002D2AB8">
        <w:rPr>
          <w:rFonts w:cs="Times New Roman"/>
          <w:b/>
          <w:szCs w:val="24"/>
        </w:rPr>
        <w:t xml:space="preserve"> (marec)</w:t>
      </w:r>
      <w:r w:rsidRPr="002D2AB8">
        <w:rPr>
          <w:rFonts w:cs="Times New Roman"/>
          <w:b/>
          <w:szCs w:val="24"/>
        </w:rPr>
        <w:t>;</w:t>
      </w:r>
    </w:p>
    <w:p w:rsidR="009D46F8" w:rsidRPr="002D2AB8" w:rsidRDefault="009D46F8" w:rsidP="009D46F8">
      <w:pPr>
        <w:pStyle w:val="Odstavekseznama"/>
        <w:numPr>
          <w:ilvl w:val="0"/>
          <w:numId w:val="11"/>
        </w:numPr>
        <w:rPr>
          <w:rFonts w:cs="Times New Roman"/>
          <w:b/>
          <w:szCs w:val="24"/>
        </w:rPr>
      </w:pPr>
      <w:r w:rsidRPr="002D2AB8">
        <w:rPr>
          <w:rFonts w:cs="Times New Roman"/>
          <w:b/>
          <w:szCs w:val="24"/>
        </w:rPr>
        <w:t>RTV in Knjižnica Šentjur snemanje dokumentarnega filma o Josipu Ipavcu</w:t>
      </w:r>
      <w:r w:rsidR="00A048D9" w:rsidRPr="002D2AB8">
        <w:rPr>
          <w:rFonts w:cs="Times New Roman"/>
          <w:b/>
          <w:szCs w:val="24"/>
        </w:rPr>
        <w:t xml:space="preserve"> (druga polovica leta)</w:t>
      </w:r>
      <w:r w:rsidRPr="002D2AB8">
        <w:rPr>
          <w:rFonts w:cs="Times New Roman"/>
          <w:b/>
          <w:szCs w:val="24"/>
        </w:rPr>
        <w:t>;</w:t>
      </w:r>
    </w:p>
    <w:p w:rsidR="009D46F8" w:rsidRPr="002D2AB8" w:rsidRDefault="009D46F8" w:rsidP="009D46F8">
      <w:pPr>
        <w:pStyle w:val="Odstavekseznama"/>
        <w:numPr>
          <w:ilvl w:val="0"/>
          <w:numId w:val="11"/>
        </w:numPr>
        <w:rPr>
          <w:rFonts w:cs="Times New Roman"/>
          <w:b/>
          <w:szCs w:val="24"/>
        </w:rPr>
      </w:pPr>
      <w:r w:rsidRPr="002D2AB8">
        <w:rPr>
          <w:rFonts w:cs="Times New Roman"/>
          <w:b/>
          <w:szCs w:val="24"/>
        </w:rPr>
        <w:t>Predavanje Hugo W</w:t>
      </w:r>
      <w:r w:rsidR="00647A96">
        <w:rPr>
          <w:rFonts w:cs="Times New Roman"/>
          <w:b/>
          <w:szCs w:val="24"/>
        </w:rPr>
        <w:t>olf in Josipa Ipavec, sodobnika.</w:t>
      </w:r>
      <w:r w:rsidRPr="002D2AB8">
        <w:rPr>
          <w:rFonts w:cs="Times New Roman"/>
          <w:b/>
          <w:szCs w:val="24"/>
        </w:rPr>
        <w:t xml:space="preserve"> Koroški pokrajinski muzej, Slovenj Gradec (april); </w:t>
      </w:r>
    </w:p>
    <w:p w:rsidR="00A048D9" w:rsidRPr="002D2AB8" w:rsidRDefault="00A048D9" w:rsidP="009D46F8">
      <w:pPr>
        <w:pStyle w:val="Odstavekseznama"/>
        <w:numPr>
          <w:ilvl w:val="0"/>
          <w:numId w:val="11"/>
        </w:numPr>
        <w:rPr>
          <w:rFonts w:cs="Times New Roman"/>
          <w:b/>
          <w:szCs w:val="24"/>
        </w:rPr>
      </w:pPr>
      <w:r w:rsidRPr="002D2AB8">
        <w:rPr>
          <w:rFonts w:cs="Times New Roman"/>
          <w:b/>
          <w:szCs w:val="24"/>
        </w:rPr>
        <w:t xml:space="preserve">V originalni verziji bo prvič digitalno </w:t>
      </w:r>
      <w:proofErr w:type="spellStart"/>
      <w:r w:rsidRPr="002D2AB8">
        <w:rPr>
          <w:rFonts w:cs="Times New Roman"/>
          <w:b/>
          <w:szCs w:val="24"/>
        </w:rPr>
        <w:t>notografirana</w:t>
      </w:r>
      <w:proofErr w:type="spellEnd"/>
      <w:r w:rsidRPr="002D2AB8">
        <w:rPr>
          <w:rFonts w:cs="Times New Roman"/>
          <w:b/>
          <w:szCs w:val="24"/>
        </w:rPr>
        <w:t xml:space="preserve"> in natisnjena opereta Josipa Ipavca: Princesa Vrtoglavka (maj);</w:t>
      </w:r>
    </w:p>
    <w:p w:rsidR="00A048D9" w:rsidRPr="002D2AB8" w:rsidRDefault="00A048D9" w:rsidP="009D46F8">
      <w:pPr>
        <w:pStyle w:val="Odstavekseznama"/>
        <w:numPr>
          <w:ilvl w:val="0"/>
          <w:numId w:val="11"/>
        </w:numPr>
        <w:rPr>
          <w:rFonts w:cs="Times New Roman"/>
          <w:b/>
          <w:szCs w:val="24"/>
        </w:rPr>
      </w:pPr>
      <w:r w:rsidRPr="002D2AB8">
        <w:rPr>
          <w:rFonts w:cs="Times New Roman"/>
          <w:b/>
          <w:szCs w:val="24"/>
        </w:rPr>
        <w:t>Koncert samospevov Josipa Ipavca v počastitev 30. obletnice slovenske samostojne države (junij, oktober);</w:t>
      </w:r>
    </w:p>
    <w:p w:rsidR="00A048D9" w:rsidRPr="002D2AB8" w:rsidRDefault="00A048D9" w:rsidP="009D46F8">
      <w:pPr>
        <w:pStyle w:val="Odstavekseznama"/>
        <w:numPr>
          <w:ilvl w:val="0"/>
          <w:numId w:val="11"/>
        </w:numPr>
        <w:rPr>
          <w:rFonts w:cs="Times New Roman"/>
          <w:b/>
          <w:szCs w:val="24"/>
        </w:rPr>
      </w:pPr>
      <w:r w:rsidRPr="002D2AB8">
        <w:rPr>
          <w:rFonts w:cs="Times New Roman"/>
          <w:b/>
          <w:szCs w:val="24"/>
        </w:rPr>
        <w:t xml:space="preserve">Digitalizacija notnih rokopisov skladateljev Ipavcev, virtualna razstava in tematski katalog v Narodni univerzitetni knjižnici v Ljubljani (konec leta). </w:t>
      </w:r>
    </w:p>
    <w:p w:rsidR="00CC22E7" w:rsidRPr="002D2AB8" w:rsidRDefault="00CC22E7" w:rsidP="00CC22E7">
      <w:pPr>
        <w:spacing w:after="0" w:line="360" w:lineRule="auto"/>
        <w:jc w:val="bot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16"/>
          <w:szCs w:val="16"/>
        </w:rPr>
      </w:pPr>
    </w:p>
    <w:tbl>
      <w:tblPr>
        <w:tblStyle w:val="Tabelamrea"/>
        <w:tblW w:w="9072" w:type="dxa"/>
        <w:tblInd w:w="108" w:type="dxa"/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276"/>
        <w:gridCol w:w="1417"/>
        <w:gridCol w:w="1134"/>
      </w:tblGrid>
      <w:tr w:rsidR="00767B3C" w:rsidRPr="00767B3C" w:rsidTr="00767B3C">
        <w:trPr>
          <w:trHeight w:val="98"/>
        </w:trPr>
        <w:tc>
          <w:tcPr>
            <w:tcW w:w="3544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pisna obrazložitev</w:t>
            </w:r>
          </w:p>
        </w:tc>
        <w:tc>
          <w:tcPr>
            <w:tcW w:w="1701" w:type="dxa"/>
            <w:shd w:val="clear" w:color="auto" w:fill="auto"/>
          </w:tcPr>
          <w:p w:rsidR="00767B3C" w:rsidRPr="00767B3C" w:rsidRDefault="002D2AB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2019</w:t>
            </w:r>
          </w:p>
        </w:tc>
        <w:tc>
          <w:tcPr>
            <w:tcW w:w="1276" w:type="dxa"/>
            <w:shd w:val="clear" w:color="auto" w:fill="auto"/>
          </w:tcPr>
          <w:p w:rsidR="00767B3C" w:rsidRPr="00767B3C" w:rsidRDefault="005940B6" w:rsidP="002D2A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Načrt: 20</w:t>
            </w:r>
            <w:r w:rsidR="002D2AB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67B3C" w:rsidRPr="00767B3C" w:rsidRDefault="002D2AB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 2020</w:t>
            </w:r>
            <w:r w:rsidR="00767B3C"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767B3C" w:rsidRPr="00767B3C" w:rsidRDefault="002D2AB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Načrt: 2021</w:t>
            </w:r>
          </w:p>
        </w:tc>
      </w:tr>
      <w:tr w:rsidR="00767B3C" w:rsidRPr="00767B3C" w:rsidTr="00767B3C">
        <w:trPr>
          <w:trHeight w:val="98"/>
        </w:trPr>
        <w:tc>
          <w:tcPr>
            <w:tcW w:w="3544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Število dogodkov</w:t>
            </w:r>
          </w:p>
        </w:tc>
        <w:tc>
          <w:tcPr>
            <w:tcW w:w="1701" w:type="dxa"/>
            <w:shd w:val="clear" w:color="auto" w:fill="auto"/>
          </w:tcPr>
          <w:p w:rsidR="00767B3C" w:rsidRPr="00767B3C" w:rsidRDefault="002D2AB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128</w:t>
            </w:r>
          </w:p>
        </w:tc>
        <w:tc>
          <w:tcPr>
            <w:tcW w:w="1276" w:type="dxa"/>
            <w:shd w:val="clear" w:color="auto" w:fill="auto"/>
          </w:tcPr>
          <w:p w:rsidR="00767B3C" w:rsidRPr="00767B3C" w:rsidRDefault="002D2AB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180</w:t>
            </w:r>
          </w:p>
        </w:tc>
        <w:tc>
          <w:tcPr>
            <w:tcW w:w="1417" w:type="dxa"/>
            <w:shd w:val="clear" w:color="auto" w:fill="auto"/>
          </w:tcPr>
          <w:p w:rsidR="00767B3C" w:rsidRPr="00767B3C" w:rsidRDefault="002D2AB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128</w:t>
            </w:r>
          </w:p>
        </w:tc>
        <w:tc>
          <w:tcPr>
            <w:tcW w:w="1134" w:type="dxa"/>
            <w:shd w:val="clear" w:color="auto" w:fill="auto"/>
          </w:tcPr>
          <w:p w:rsidR="00767B3C" w:rsidRPr="00767B3C" w:rsidRDefault="002D2AB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120</w:t>
            </w:r>
          </w:p>
        </w:tc>
      </w:tr>
    </w:tbl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10"/>
          <w:szCs w:val="10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10"/>
          <w:szCs w:val="10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10"/>
          <w:szCs w:val="10"/>
        </w:rPr>
      </w:pPr>
    </w:p>
    <w:p w:rsidR="00767B3C" w:rsidRPr="00767B3C" w:rsidRDefault="00767B3C" w:rsidP="00767B3C">
      <w:pPr>
        <w:keepNext/>
        <w:keepLines/>
        <w:numPr>
          <w:ilvl w:val="2"/>
          <w:numId w:val="0"/>
        </w:numPr>
        <w:spacing w:after="240" w:line="360" w:lineRule="auto"/>
        <w:ind w:left="720" w:hanging="720"/>
        <w:jc w:val="both"/>
        <w:outlineLvl w:val="2"/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</w:pPr>
      <w:bookmarkStart w:id="50" w:name="_Toc387764564"/>
      <w:bookmarkStart w:id="51" w:name="_Toc444196641"/>
      <w:bookmarkStart w:id="52" w:name="_Toc484153508"/>
      <w:proofErr w:type="spellStart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>Bibliopedagoško</w:t>
      </w:r>
      <w:proofErr w:type="spellEnd"/>
      <w:r w:rsidRPr="00767B3C">
        <w:rPr>
          <w:rFonts w:ascii="Times New Roman" w:eastAsiaTheme="majorEastAsia" w:hAnsi="Times New Roman" w:cstheme="majorBidi"/>
          <w:b/>
          <w:bCs/>
          <w:color w:val="808080" w:themeColor="background1" w:themeShade="80"/>
          <w:sz w:val="24"/>
        </w:rPr>
        <w:t xml:space="preserve"> delo z vrtčevskimi, osnovnošolskimi in srednješolskimi skupinami</w:t>
      </w:r>
      <w:bookmarkEnd w:id="50"/>
      <w:bookmarkEnd w:id="51"/>
      <w:bookmarkEnd w:id="52"/>
    </w:p>
    <w:p w:rsidR="00767B3C" w:rsidRPr="00767B3C" w:rsidRDefault="00654DF6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Cilj: 16</w:t>
      </w:r>
      <w:r w:rsidR="00767B3C"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skupin iz vrtca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osnovnih šol in Šolskega centra Šentjur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Obiski skupin otrok iz vrtca so iz naslova </w:t>
      </w:r>
      <w:proofErr w:type="spellStart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bibliopedagogike</w:t>
      </w:r>
      <w:proofErr w:type="spellEnd"/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in ohranjanja članstva v knjižnici zelo pomembni. Zgodnje navajanje otrok na uporabo knjižnice je temelj kulturne vzgoje.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elamre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  <w:gridCol w:w="1701"/>
      </w:tblGrid>
      <w:tr w:rsidR="00767B3C" w:rsidRPr="00767B3C" w:rsidTr="00767B3C">
        <w:trPr>
          <w:trHeight w:val="99"/>
        </w:trPr>
        <w:tc>
          <w:tcPr>
            <w:tcW w:w="2552" w:type="dxa"/>
            <w:shd w:val="clear" w:color="auto" w:fill="F2F2F2" w:themeFill="background1" w:themeFillShade="F2"/>
          </w:tcPr>
          <w:p w:rsidR="00767B3C" w:rsidRPr="00767B3C" w:rsidRDefault="00767B3C" w:rsidP="00767B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pisna obrazložitev</w:t>
            </w:r>
          </w:p>
        </w:tc>
        <w:tc>
          <w:tcPr>
            <w:tcW w:w="1701" w:type="dxa"/>
          </w:tcPr>
          <w:p w:rsidR="00767B3C" w:rsidRPr="00767B3C" w:rsidRDefault="002D2AB8" w:rsidP="00767B3C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Realizacija: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  <w:t>2019</w:t>
            </w:r>
          </w:p>
        </w:tc>
        <w:tc>
          <w:tcPr>
            <w:tcW w:w="1701" w:type="dxa"/>
          </w:tcPr>
          <w:p w:rsidR="00767B3C" w:rsidRPr="00767B3C" w:rsidRDefault="005940B6" w:rsidP="002D2A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Načrt: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  <w:t>20</w:t>
            </w:r>
            <w:r w:rsidR="002D2AB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</w:t>
            </w:r>
          </w:p>
        </w:tc>
        <w:tc>
          <w:tcPr>
            <w:tcW w:w="1701" w:type="dxa"/>
          </w:tcPr>
          <w:p w:rsidR="00767B3C" w:rsidRPr="00767B3C" w:rsidRDefault="00DC74B6" w:rsidP="002D2AB8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Realizacija: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  <w:t>20</w:t>
            </w:r>
            <w:r w:rsidR="002D2AB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20</w:t>
            </w:r>
          </w:p>
        </w:tc>
        <w:tc>
          <w:tcPr>
            <w:tcW w:w="1701" w:type="dxa"/>
          </w:tcPr>
          <w:p w:rsidR="00767B3C" w:rsidRPr="00767B3C" w:rsidRDefault="00767B3C" w:rsidP="00DC74B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Načrt: </w:t>
            </w: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br/>
              <w:t>20</w:t>
            </w:r>
            <w:r w:rsidR="002D2AB8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21</w:t>
            </w:r>
          </w:p>
        </w:tc>
      </w:tr>
      <w:tr w:rsidR="00767B3C" w:rsidRPr="00767B3C" w:rsidTr="00767B3C">
        <w:trPr>
          <w:trHeight w:val="99"/>
        </w:trPr>
        <w:tc>
          <w:tcPr>
            <w:tcW w:w="2552" w:type="dxa"/>
            <w:shd w:val="clear" w:color="auto" w:fill="F2F2F2" w:themeFill="background1" w:themeFillShade="F2"/>
          </w:tcPr>
          <w:p w:rsidR="00767B3C" w:rsidRPr="00767B3C" w:rsidRDefault="00DC74B6" w:rsidP="00767B3C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>Cilj: 33</w:t>
            </w:r>
            <w:r w:rsidR="00767B3C" w:rsidRPr="00767B3C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</w:rPr>
              <w:t xml:space="preserve"> skupin</w:t>
            </w:r>
          </w:p>
        </w:tc>
        <w:tc>
          <w:tcPr>
            <w:tcW w:w="1701" w:type="dxa"/>
          </w:tcPr>
          <w:p w:rsidR="00767B3C" w:rsidRPr="00767B3C" w:rsidRDefault="002D2AB8" w:rsidP="00767B3C">
            <w:pPr>
              <w:spacing w:line="36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33</w:t>
            </w:r>
            <w:r w:rsidR="00767B3C"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skupin</w:t>
            </w:r>
          </w:p>
        </w:tc>
        <w:tc>
          <w:tcPr>
            <w:tcW w:w="1701" w:type="dxa"/>
          </w:tcPr>
          <w:p w:rsidR="00767B3C" w:rsidRPr="00767B3C" w:rsidRDefault="002D2AB8" w:rsidP="00767B3C">
            <w:pPr>
              <w:spacing w:line="36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33 skupin</w:t>
            </w:r>
          </w:p>
        </w:tc>
        <w:tc>
          <w:tcPr>
            <w:tcW w:w="1701" w:type="dxa"/>
          </w:tcPr>
          <w:p w:rsidR="00767B3C" w:rsidRPr="00767B3C" w:rsidRDefault="000D0120" w:rsidP="00767B3C">
            <w:pPr>
              <w:spacing w:line="36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16 skupin</w:t>
            </w:r>
          </w:p>
        </w:tc>
        <w:tc>
          <w:tcPr>
            <w:tcW w:w="1701" w:type="dxa"/>
          </w:tcPr>
          <w:p w:rsidR="00767B3C" w:rsidRPr="00767B3C" w:rsidRDefault="00767B3C" w:rsidP="000D0120">
            <w:pPr>
              <w:spacing w:line="360" w:lineRule="auto"/>
              <w:jc w:val="both"/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</w:pP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  <w:r w:rsidR="000D0120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16</w:t>
            </w:r>
            <w:r w:rsidR="00DC74B6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 xml:space="preserve"> </w:t>
            </w: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</w:rPr>
              <w:t>skupin</w:t>
            </w:r>
          </w:p>
        </w:tc>
      </w:tr>
    </w:tbl>
    <w:p w:rsidR="00196465" w:rsidRDefault="00196465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196465" w:rsidRDefault="00196465" w:rsidP="00767B3C">
      <w:pPr>
        <w:spacing w:after="0"/>
        <w:jc w:val="both"/>
        <w:rPr>
          <w:rFonts w:ascii="Times New Roman" w:eastAsiaTheme="majorEastAsia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767B3C" w:rsidRPr="00196465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1964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Priloga 1: Kadrovski načrt Knjižnice za leto 20</w:t>
      </w:r>
      <w:r w:rsidR="00DC74B6" w:rsidRPr="001964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20</w:t>
      </w:r>
      <w:r w:rsidRPr="001964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ab/>
      </w:r>
    </w:p>
    <w:p w:rsidR="00767B3C" w:rsidRPr="00196465" w:rsidRDefault="00767B3C" w:rsidP="00767B3C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767B3C" w:rsidRPr="00767B3C" w:rsidRDefault="00767B3C" w:rsidP="00767B3C">
      <w:pPr>
        <w:spacing w:after="0"/>
        <w:jc w:val="center"/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</w:pPr>
      <w:r w:rsidRPr="00196465"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  <w:t>KADROVSKI NAČRT JAVNEGA ZAVODA KNJIŽNICE ŠENTJUR,</w:t>
      </w:r>
      <w:r w:rsidRPr="00767B3C"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  <w:t xml:space="preserve"> </w:t>
      </w:r>
    </w:p>
    <w:p w:rsidR="00767B3C" w:rsidRPr="00767B3C" w:rsidRDefault="00767B3C" w:rsidP="00767B3C">
      <w:pPr>
        <w:spacing w:after="0"/>
        <w:jc w:val="center"/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</w:pPr>
      <w:r w:rsidRPr="00767B3C"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  <w:t>ZA LETO 20</w:t>
      </w:r>
      <w:r w:rsidR="00654DF6"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  <w:t>21</w:t>
      </w:r>
    </w:p>
    <w:p w:rsidR="00767B3C" w:rsidRPr="00767B3C" w:rsidRDefault="00767B3C" w:rsidP="00767B3C">
      <w:pPr>
        <w:spacing w:after="0"/>
        <w:jc w:val="both"/>
        <w:rPr>
          <w:rFonts w:ascii="Times New Roman" w:eastAsia="Calibri" w:hAnsi="Times New Roman" w:cs="Times New Roman"/>
          <w:b/>
          <w:color w:val="808080" w:themeColor="background1" w:themeShade="80"/>
          <w:sz w:val="24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JZ Knjižnica Šentjur je pripravil Kadrovski načrt za leto 20</w:t>
      </w:r>
      <w:r w:rsidR="00654DF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21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na podlagi Zakona o izvrševanju proračunov Republike Slovenije za leti 20</w:t>
      </w:r>
      <w:r w:rsidR="00DC74B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20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in 20</w:t>
      </w:r>
      <w:r w:rsidR="00DC74B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21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(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Ur. l. 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RS, št. 7</w:t>
      </w:r>
      <w:r w:rsidR="00DC74B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5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/1</w:t>
      </w:r>
      <w:r w:rsidR="00DC74B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9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) ter</w:t>
      </w:r>
      <w:r w:rsidRPr="00767B3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Uredbe o načinu priprave kadrovskih načrtov posrednih uporabnikov proračuna in metodologiji spremljanja njihovega izvajanja za leti 20</w:t>
      </w:r>
      <w:r w:rsidR="00DC74B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20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in 20</w:t>
      </w:r>
      <w:r w:rsidR="00DC74B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21 (Uradni list RS, št. 3/20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), ki prikazuje število zaposlenih na dan 1. 1. 20</w:t>
      </w:r>
      <w:r w:rsidR="00DC74B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20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in 1. 1. 20</w:t>
      </w:r>
      <w:r w:rsidR="00DC74B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21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, glede na vire financiranja.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327"/>
        <w:gridCol w:w="2036"/>
        <w:gridCol w:w="2552"/>
      </w:tblGrid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Vir financiranja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DC74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Št. zaposlenih na dan 1. januarja tekočega leta 20</w:t>
            </w:r>
            <w:r w:rsidR="00DE46C8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21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767B3C" w:rsidP="00DE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Št. zaposlenih na dan 1. april 20</w:t>
            </w:r>
            <w:r w:rsidR="00DC74B6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  <w:r w:rsidR="00DE46C8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1</w:t>
            </w: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 xml:space="preserve"> (JD)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767B3C" w:rsidP="00DE4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Dovoljeno ali ocenjeno št. zaposlenih na dan 1. 1. 202</w:t>
            </w:r>
            <w:r w:rsidR="00DE46C8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2</w:t>
            </w: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.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1. Državni proračun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2. Proračun občin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DC74B6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24"/>
                <w:szCs w:val="24"/>
              </w:rPr>
              <w:t>9,00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3. ZZZS in ZPIS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 xml:space="preserve">4. Druga javna sredstva za opravljanje javne službe (npr. takse, pristojbine, </w:t>
            </w:r>
            <w:proofErr w:type="spellStart"/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koncesnine</w:t>
            </w:r>
            <w:proofErr w:type="spellEnd"/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, RTV-prispevek)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5. Sredstva od prodaje blaga in storitev na trgu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6. Nejavna sredstva za opravljanje javne službe in sredstva prejetih donacij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DE46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</w:t>
            </w:r>
            <w:r w:rsidR="00DE46C8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50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0,50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0,50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7. Sredstva Evropske unije ali drugih mednarodnih virov, vključno s sredstvi sofinanciranja iz državnega proračuna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8. Sredstva za financiranje javnih del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</w:tbl>
    <w:p w:rsidR="00767B3C" w:rsidRPr="00767B3C" w:rsidRDefault="00767B3C" w:rsidP="00767B3C">
      <w:pPr>
        <w:spacing w:after="0" w:line="360" w:lineRule="auto"/>
        <w:jc w:val="both"/>
        <w:rPr>
          <w:rFonts w:ascii="Times New Roman" w:hAnsi="Times New Roman"/>
          <w:color w:val="808080" w:themeColor="background1" w:themeShade="80"/>
          <w:sz w:val="24"/>
        </w:rPr>
      </w:pPr>
      <w:r w:rsidRPr="00767B3C">
        <w:rPr>
          <w:rFonts w:ascii="Times New Roman" w:hAnsi="Times New Roman"/>
          <w:color w:val="808080" w:themeColor="background1" w:themeShade="80"/>
          <w:sz w:val="24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2327"/>
        <w:gridCol w:w="2036"/>
        <w:gridCol w:w="2552"/>
      </w:tblGrid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lastRenderedPageBreak/>
              <w:t>9. Sredstva ZZZS za zdravnike pripravnike in specializante, zdravstvene delavce pripravnike, zdravstvene sodelavce pripravnike in sredstev raziskovalnih projektov in programov ter sredstev za projekte in programe, namenjenih za internacionalizacijo in kakovost v izobraževanju in znanosti (namenska sredstva)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10. Sredstva za zaposlene na podlagi Zakona o ukrepih za odpravo posledic žleda med 30. januarjem in 10. februarjem 2014 (</w:t>
            </w:r>
            <w:r w:rsidRPr="00767B3C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Ur. l. </w:t>
            </w: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 xml:space="preserve"> RS, št. 17/14)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Skupno število vseh zaposlenih (od 1. do 10. točke)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DE46C8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9,50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9,50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9,50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Skupno število zaposlenih pod točkami 1, 2, 3 in 4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DE46C8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9,00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9,00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9,00</w:t>
            </w:r>
          </w:p>
        </w:tc>
      </w:tr>
      <w:tr w:rsidR="00767B3C" w:rsidRPr="00767B3C" w:rsidTr="00767B3C">
        <w:tc>
          <w:tcPr>
            <w:tcW w:w="2691" w:type="dxa"/>
            <w:shd w:val="clear" w:color="auto" w:fill="auto"/>
          </w:tcPr>
          <w:p w:rsidR="00767B3C" w:rsidRPr="00767B3C" w:rsidRDefault="00767B3C" w:rsidP="00767B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Skupno število zaposlenih pod točkami 5, 6, 7, 8, 9 in 10</w:t>
            </w:r>
          </w:p>
        </w:tc>
        <w:tc>
          <w:tcPr>
            <w:tcW w:w="2327" w:type="dxa"/>
            <w:shd w:val="clear" w:color="auto" w:fill="auto"/>
          </w:tcPr>
          <w:p w:rsidR="00767B3C" w:rsidRPr="00767B3C" w:rsidRDefault="00767B3C" w:rsidP="004278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</w:t>
            </w:r>
            <w:r w:rsidR="004278A5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5</w:t>
            </w:r>
            <w:r w:rsidRPr="00767B3C"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</w:t>
            </w:r>
          </w:p>
        </w:tc>
        <w:tc>
          <w:tcPr>
            <w:tcW w:w="2036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0,50</w:t>
            </w:r>
          </w:p>
        </w:tc>
        <w:tc>
          <w:tcPr>
            <w:tcW w:w="2552" w:type="dxa"/>
            <w:shd w:val="clear" w:color="auto" w:fill="auto"/>
          </w:tcPr>
          <w:p w:rsidR="00767B3C" w:rsidRPr="00767B3C" w:rsidRDefault="004278A5" w:rsidP="00767B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808080" w:themeColor="background1" w:themeShade="80"/>
                <w:sz w:val="24"/>
                <w:szCs w:val="24"/>
              </w:rPr>
              <w:t>0,50</w:t>
            </w:r>
          </w:p>
        </w:tc>
      </w:tr>
    </w:tbl>
    <w:p w:rsidR="00767B3C" w:rsidRPr="00767B3C" w:rsidRDefault="00767B3C" w:rsidP="00767B3C">
      <w:pPr>
        <w:spacing w:after="0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Obrazložitev kadrovskega načrta: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Kadrovski načrt JZ Knjižnice Šentjur je izdelan v skladu z </w:t>
      </w:r>
      <w:r w:rsidRPr="00767B3C">
        <w:rPr>
          <w:rFonts w:ascii="Times New Roman" w:eastAsia="Calibri" w:hAnsi="Times New Roman" w:cs="Times New Roman"/>
          <w:bCs/>
          <w:color w:val="808080" w:themeColor="background1" w:themeShade="80"/>
          <w:sz w:val="24"/>
          <w:szCs w:val="24"/>
        </w:rPr>
        <w:t xml:space="preserve"> </w:t>
      </w:r>
      <w:r w:rsidRPr="00767B3C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>Uredbo o načinu priprave kadrovskih načrtov posrednih uporabnikov proračuna in metodologiji spremljanja njihovega izvajanja za leti 20</w:t>
      </w:r>
      <w:r w:rsidR="00196465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>20</w:t>
      </w:r>
      <w:r w:rsidRPr="00767B3C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 xml:space="preserve"> in 20</w:t>
      </w:r>
      <w:r w:rsidR="00196465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>21</w:t>
      </w:r>
      <w:r w:rsidRPr="00767B3C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 xml:space="preserve"> (</w:t>
      </w:r>
      <w:r w:rsidRPr="00767B3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Ur. l. </w:t>
      </w:r>
      <w:r w:rsidRPr="00767B3C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 xml:space="preserve">RS, št. </w:t>
      </w:r>
      <w:r w:rsidR="00196465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>3/20</w:t>
      </w:r>
      <w:r w:rsidRPr="00767B3C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sl-SI"/>
        </w:rPr>
        <w:t xml:space="preserve">), 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priloga 1.  V izračun skupnega števila zaposlenih ne štejejo zaposleni</w:t>
      </w:r>
      <w:r w:rsidR="0019646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h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, katerih plače se med drugim financirajo iz sredstev od prodaje blaga in storitev na trgu, nejavnih sredstev za opravljanje javne službe ter sredstev iz sistema javnih del.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10"/>
          <w:szCs w:val="10"/>
          <w:lang w:eastAsia="sl-SI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Pri pripravi kadrovskega načrta za leto 20</w:t>
      </w:r>
      <w:r w:rsidR="00654DF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21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smo izhajali iz Pravilnika o notranji organizaciji in sistemizaciji delovnih mest JZ Knjižnice Šentjur, ki ima na datum </w:t>
      </w:r>
      <w:r w:rsidR="00654DF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17. 12. 2020.</w:t>
      </w:r>
      <w:r w:rsidR="00647A9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9,00 delavcev je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financiranih s sr</w:t>
      </w:r>
      <w:r w:rsidR="00654DF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edstvi proračuna Občine Šentjur, 0,50 zaposlitve je financirane iz lastnih (nejavnih) sredstev Knjižnice Šentjur.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10"/>
          <w:szCs w:val="10"/>
          <w:lang w:eastAsia="sl-SI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lastRenderedPageBreak/>
        <w:t xml:space="preserve">Za izvajanje programa v OE IKC se bomo po potrebi </w:t>
      </w:r>
      <w:r w:rsidR="00647A9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dogovorili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z </w:t>
      </w:r>
      <w:r w:rsidR="00647A9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zunanjimi 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izvajalci </w:t>
      </w:r>
      <w:r w:rsidR="00647A9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in se 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posluževali avtorskih in drugih pogodb civilnega prava v minimalnem obsegu. </w:t>
      </w:r>
      <w:proofErr w:type="spellStart"/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Vsled</w:t>
      </w:r>
      <w:proofErr w:type="spellEnd"/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navedenega načrtujemo  po virih financiranja stanje kadrovske zasedenosti v knjižnici, kot je razvidno iz zgornje tabele in predvidoma enako stanje na dan 1. </w:t>
      </w:r>
      <w:r w:rsidR="00786D8E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1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. 20</w:t>
      </w:r>
      <w:r w:rsidR="0019646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</w:t>
      </w:r>
      <w:r w:rsidR="00647A96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2</w:t>
      </w: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>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                                                                                                   Direktorica: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</w:pPr>
      <w:r w:rsidRPr="00767B3C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sl-SI"/>
        </w:rPr>
        <w:t xml:space="preserve">                                                                                                    Tatjana Oset, prof.</w:t>
      </w:r>
    </w:p>
    <w:p w:rsidR="00767B3C" w:rsidRPr="00767B3C" w:rsidRDefault="00767B3C" w:rsidP="00767B3C">
      <w:pPr>
        <w:spacing w:after="0" w:line="360" w:lineRule="auto"/>
        <w:jc w:val="both"/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Šentjur, 22. 2. 20</w:t>
      </w:r>
      <w:r w:rsidR="00647A96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21</w:t>
      </w:r>
      <w:r w:rsidRPr="00767B3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t>.</w:t>
      </w:r>
    </w:p>
    <w:p w:rsidR="00767B3C" w:rsidRPr="00767B3C" w:rsidRDefault="00767B3C" w:rsidP="00767B3C">
      <w:pPr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</w:pPr>
      <w:r w:rsidRPr="00767B3C">
        <w:rPr>
          <w:rFonts w:ascii="Times New Roman" w:eastAsia="Calibri" w:hAnsi="Times New Roman" w:cs="Times New Roman"/>
          <w:color w:val="808080" w:themeColor="background1" w:themeShade="80"/>
          <w:sz w:val="24"/>
          <w:szCs w:val="24"/>
        </w:rPr>
        <w:br w:type="page"/>
      </w:r>
    </w:p>
    <w:sectPr w:rsidR="00767B3C" w:rsidRPr="00767B3C" w:rsidSect="00767B3C">
      <w:footerReference w:type="default" r:id="rId49"/>
      <w:type w:val="continuous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AC0" w:rsidRDefault="00585AC0" w:rsidP="00767B3C">
      <w:pPr>
        <w:spacing w:after="0" w:line="240" w:lineRule="auto"/>
      </w:pPr>
      <w:r>
        <w:separator/>
      </w:r>
    </w:p>
  </w:endnote>
  <w:endnote w:type="continuationSeparator" w:id="0">
    <w:p w:rsidR="00585AC0" w:rsidRDefault="00585AC0" w:rsidP="00767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1E" w:rsidRDefault="0061301E">
    <w:pPr>
      <w:pStyle w:val="Noga"/>
      <w:jc w:val="right"/>
    </w:pPr>
  </w:p>
  <w:p w:rsidR="0061301E" w:rsidRDefault="0061301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346398"/>
      <w:docPartObj>
        <w:docPartGallery w:val="Page Numbers (Bottom of Page)"/>
        <w:docPartUnique/>
      </w:docPartObj>
    </w:sdtPr>
    <w:sdtEndPr/>
    <w:sdtContent>
      <w:p w:rsidR="0061301E" w:rsidRDefault="0061301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778">
          <w:rPr>
            <w:noProof/>
          </w:rPr>
          <w:t>11</w:t>
        </w:r>
        <w:r>
          <w:fldChar w:fldCharType="end"/>
        </w:r>
      </w:p>
    </w:sdtContent>
  </w:sdt>
  <w:p w:rsidR="0061301E" w:rsidRDefault="0061301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AC0" w:rsidRDefault="00585AC0" w:rsidP="00767B3C">
      <w:pPr>
        <w:spacing w:after="0" w:line="240" w:lineRule="auto"/>
      </w:pPr>
      <w:r>
        <w:separator/>
      </w:r>
    </w:p>
  </w:footnote>
  <w:footnote w:type="continuationSeparator" w:id="0">
    <w:p w:rsidR="00585AC0" w:rsidRDefault="00585AC0" w:rsidP="00767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2EC"/>
    <w:multiLevelType w:val="hybridMultilevel"/>
    <w:tmpl w:val="F0381F76"/>
    <w:lvl w:ilvl="0" w:tplc="E37A8640">
      <w:start w:val="2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4104A"/>
    <w:multiLevelType w:val="hybridMultilevel"/>
    <w:tmpl w:val="0FA810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E77A4"/>
    <w:multiLevelType w:val="hybridMultilevel"/>
    <w:tmpl w:val="B108F022"/>
    <w:lvl w:ilvl="0" w:tplc="F654B9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909CC"/>
    <w:multiLevelType w:val="hybridMultilevel"/>
    <w:tmpl w:val="1A52105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24C87"/>
    <w:multiLevelType w:val="hybridMultilevel"/>
    <w:tmpl w:val="58425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63C12"/>
    <w:multiLevelType w:val="hybridMultilevel"/>
    <w:tmpl w:val="12B614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23D22"/>
    <w:multiLevelType w:val="hybridMultilevel"/>
    <w:tmpl w:val="24A2E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87370"/>
    <w:multiLevelType w:val="hybridMultilevel"/>
    <w:tmpl w:val="CAC45F4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F6C145A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091DF1"/>
    <w:multiLevelType w:val="hybridMultilevel"/>
    <w:tmpl w:val="C748B6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2B5204"/>
    <w:multiLevelType w:val="multilevel"/>
    <w:tmpl w:val="BD423F98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7ACD6E5C"/>
    <w:multiLevelType w:val="hybridMultilevel"/>
    <w:tmpl w:val="17DA8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3C"/>
    <w:rsid w:val="000D0120"/>
    <w:rsid w:val="000E4802"/>
    <w:rsid w:val="001961C5"/>
    <w:rsid w:val="00196465"/>
    <w:rsid w:val="00222B69"/>
    <w:rsid w:val="00244751"/>
    <w:rsid w:val="002635BB"/>
    <w:rsid w:val="002D2AB8"/>
    <w:rsid w:val="003436E7"/>
    <w:rsid w:val="003B4778"/>
    <w:rsid w:val="003E4228"/>
    <w:rsid w:val="003F7B11"/>
    <w:rsid w:val="004278A5"/>
    <w:rsid w:val="0043030C"/>
    <w:rsid w:val="00585AC0"/>
    <w:rsid w:val="005940B6"/>
    <w:rsid w:val="005B589D"/>
    <w:rsid w:val="00607271"/>
    <w:rsid w:val="0061301E"/>
    <w:rsid w:val="00647A96"/>
    <w:rsid w:val="00654DF6"/>
    <w:rsid w:val="00702581"/>
    <w:rsid w:val="00767B3C"/>
    <w:rsid w:val="00786D8E"/>
    <w:rsid w:val="0080450B"/>
    <w:rsid w:val="0083692B"/>
    <w:rsid w:val="0086073D"/>
    <w:rsid w:val="008674CE"/>
    <w:rsid w:val="00897EA6"/>
    <w:rsid w:val="008A1F49"/>
    <w:rsid w:val="008E3223"/>
    <w:rsid w:val="009B0F74"/>
    <w:rsid w:val="009D46F8"/>
    <w:rsid w:val="00A048D9"/>
    <w:rsid w:val="00AA4CD3"/>
    <w:rsid w:val="00BA3F73"/>
    <w:rsid w:val="00CA30E5"/>
    <w:rsid w:val="00CC22E7"/>
    <w:rsid w:val="00DA4128"/>
    <w:rsid w:val="00DC74B6"/>
    <w:rsid w:val="00DE46C8"/>
    <w:rsid w:val="00DF6AE8"/>
    <w:rsid w:val="00E15CD0"/>
    <w:rsid w:val="00F91B81"/>
    <w:rsid w:val="00FB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767B3C"/>
    <w:pPr>
      <w:keepNext/>
      <w:keepLines/>
      <w:numPr>
        <w:numId w:val="10"/>
      </w:numPr>
      <w:spacing w:after="2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767B3C"/>
    <w:pPr>
      <w:keepNext/>
      <w:keepLines/>
      <w:numPr>
        <w:ilvl w:val="1"/>
        <w:numId w:val="10"/>
      </w:numPr>
      <w:spacing w:after="24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767B3C"/>
    <w:pPr>
      <w:keepNext/>
      <w:keepLines/>
      <w:numPr>
        <w:ilvl w:val="2"/>
        <w:numId w:val="10"/>
      </w:numPr>
      <w:spacing w:after="24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808080" w:themeColor="background1" w:themeShade="80"/>
      <w:sz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67B3C"/>
    <w:pPr>
      <w:keepNext/>
      <w:keepLines/>
      <w:numPr>
        <w:ilvl w:val="3"/>
        <w:numId w:val="10"/>
      </w:numPr>
      <w:spacing w:after="240" w:line="360" w:lineRule="auto"/>
      <w:ind w:left="862" w:hanging="862"/>
      <w:jc w:val="both"/>
      <w:outlineLvl w:val="3"/>
    </w:pPr>
    <w:rPr>
      <w:rFonts w:ascii="Times New Roman" w:eastAsiaTheme="majorEastAsia" w:hAnsi="Times New Roman" w:cstheme="majorBidi"/>
      <w:b/>
      <w:bCs/>
      <w:iCs/>
      <w:color w:val="7F7F7F" w:themeColor="text1" w:themeTint="80"/>
      <w:sz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67B3C"/>
    <w:pPr>
      <w:keepNext/>
      <w:keepLines/>
      <w:numPr>
        <w:ilvl w:val="4"/>
        <w:numId w:val="10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67B3C"/>
    <w:pPr>
      <w:keepNext/>
      <w:keepLines/>
      <w:numPr>
        <w:ilvl w:val="5"/>
        <w:numId w:val="10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67B3C"/>
    <w:pPr>
      <w:keepNext/>
      <w:keepLines/>
      <w:numPr>
        <w:ilvl w:val="6"/>
        <w:numId w:val="10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67B3C"/>
    <w:pPr>
      <w:keepNext/>
      <w:keepLines/>
      <w:numPr>
        <w:ilvl w:val="7"/>
        <w:numId w:val="10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67B3C"/>
    <w:pPr>
      <w:keepNext/>
      <w:keepLines/>
      <w:numPr>
        <w:ilvl w:val="8"/>
        <w:numId w:val="10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67B3C"/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767B3C"/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6"/>
    </w:rPr>
  </w:style>
  <w:style w:type="character" w:customStyle="1" w:styleId="Naslov3Znak">
    <w:name w:val="Naslov 3 Znak"/>
    <w:basedOn w:val="Privzetapisavaodstavka"/>
    <w:link w:val="Naslov3"/>
    <w:rsid w:val="00767B3C"/>
    <w:rPr>
      <w:rFonts w:ascii="Times New Roman" w:eastAsiaTheme="majorEastAsia" w:hAnsi="Times New Roman" w:cstheme="majorBidi"/>
      <w:b/>
      <w:bCs/>
      <w:color w:val="808080" w:themeColor="background1" w:themeShade="80"/>
      <w:sz w:val="24"/>
    </w:rPr>
  </w:style>
  <w:style w:type="character" w:customStyle="1" w:styleId="Naslov4Znak">
    <w:name w:val="Naslov 4 Znak"/>
    <w:basedOn w:val="Privzetapisavaodstavka"/>
    <w:link w:val="Naslov4"/>
    <w:uiPriority w:val="9"/>
    <w:rsid w:val="00767B3C"/>
    <w:rPr>
      <w:rFonts w:ascii="Times New Roman" w:eastAsiaTheme="majorEastAsia" w:hAnsi="Times New Roman" w:cstheme="majorBidi"/>
      <w:b/>
      <w:bCs/>
      <w:iCs/>
      <w:color w:val="7F7F7F" w:themeColor="text1" w:themeTint="80"/>
      <w:sz w:val="24"/>
    </w:rPr>
  </w:style>
  <w:style w:type="character" w:customStyle="1" w:styleId="Naslov5Znak">
    <w:name w:val="Naslov 5 Znak"/>
    <w:basedOn w:val="Privzetapisavaodstavka"/>
    <w:link w:val="Naslov5"/>
    <w:uiPriority w:val="9"/>
    <w:rsid w:val="00767B3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rsid w:val="00767B3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rsid w:val="00767B3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rsid w:val="00767B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767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mrea">
    <w:name w:val="Table Grid"/>
    <w:basedOn w:val="Navadnatabela"/>
    <w:uiPriority w:val="59"/>
    <w:rsid w:val="0076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767B3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808080" w:themeColor="background1" w:themeShade="80"/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767B3C"/>
    <w:rPr>
      <w:rFonts w:ascii="Times New Roman" w:hAnsi="Times New Roman"/>
      <w:color w:val="808080" w:themeColor="background1" w:themeShade="80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7B3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7B3C"/>
    <w:pPr>
      <w:spacing w:after="0" w:line="360" w:lineRule="auto"/>
      <w:ind w:left="720"/>
      <w:contextualSpacing/>
      <w:jc w:val="both"/>
    </w:pPr>
    <w:rPr>
      <w:rFonts w:ascii="Times New Roman" w:hAnsi="Times New Roman"/>
      <w:color w:val="808080" w:themeColor="background1" w:themeShade="80"/>
      <w:sz w:val="24"/>
    </w:rPr>
  </w:style>
  <w:style w:type="table" w:customStyle="1" w:styleId="TableNormal">
    <w:name w:val="Table Normal"/>
    <w:uiPriority w:val="2"/>
    <w:semiHidden/>
    <w:unhideWhenUsed/>
    <w:qFormat/>
    <w:rsid w:val="00767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767B3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sl" w:eastAsia="sl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67B3C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67B3C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67B3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767B3C"/>
    <w:pPr>
      <w:keepNext/>
      <w:keepLines/>
      <w:numPr>
        <w:numId w:val="10"/>
      </w:numPr>
      <w:spacing w:after="2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8"/>
    </w:rPr>
  </w:style>
  <w:style w:type="paragraph" w:styleId="Naslov2">
    <w:name w:val="heading 2"/>
    <w:basedOn w:val="Navaden"/>
    <w:next w:val="Navaden"/>
    <w:link w:val="Naslov2Znak"/>
    <w:unhideWhenUsed/>
    <w:qFormat/>
    <w:rsid w:val="00767B3C"/>
    <w:pPr>
      <w:keepNext/>
      <w:keepLines/>
      <w:numPr>
        <w:ilvl w:val="1"/>
        <w:numId w:val="10"/>
      </w:numPr>
      <w:spacing w:after="24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767B3C"/>
    <w:pPr>
      <w:keepNext/>
      <w:keepLines/>
      <w:numPr>
        <w:ilvl w:val="2"/>
        <w:numId w:val="10"/>
      </w:numPr>
      <w:spacing w:after="240" w:line="360" w:lineRule="auto"/>
      <w:jc w:val="both"/>
      <w:outlineLvl w:val="2"/>
    </w:pPr>
    <w:rPr>
      <w:rFonts w:ascii="Times New Roman" w:eastAsiaTheme="majorEastAsia" w:hAnsi="Times New Roman" w:cstheme="majorBidi"/>
      <w:b/>
      <w:bCs/>
      <w:color w:val="808080" w:themeColor="background1" w:themeShade="80"/>
      <w:sz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67B3C"/>
    <w:pPr>
      <w:keepNext/>
      <w:keepLines/>
      <w:numPr>
        <w:ilvl w:val="3"/>
        <w:numId w:val="10"/>
      </w:numPr>
      <w:spacing w:after="240" w:line="360" w:lineRule="auto"/>
      <w:ind w:left="862" w:hanging="862"/>
      <w:jc w:val="both"/>
      <w:outlineLvl w:val="3"/>
    </w:pPr>
    <w:rPr>
      <w:rFonts w:ascii="Times New Roman" w:eastAsiaTheme="majorEastAsia" w:hAnsi="Times New Roman" w:cstheme="majorBidi"/>
      <w:b/>
      <w:bCs/>
      <w:iCs/>
      <w:color w:val="7F7F7F" w:themeColor="text1" w:themeTint="80"/>
      <w:sz w:val="24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67B3C"/>
    <w:pPr>
      <w:keepNext/>
      <w:keepLines/>
      <w:numPr>
        <w:ilvl w:val="4"/>
        <w:numId w:val="10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67B3C"/>
    <w:pPr>
      <w:keepNext/>
      <w:keepLines/>
      <w:numPr>
        <w:ilvl w:val="5"/>
        <w:numId w:val="10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67B3C"/>
    <w:pPr>
      <w:keepNext/>
      <w:keepLines/>
      <w:numPr>
        <w:ilvl w:val="6"/>
        <w:numId w:val="10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67B3C"/>
    <w:pPr>
      <w:keepNext/>
      <w:keepLines/>
      <w:numPr>
        <w:ilvl w:val="7"/>
        <w:numId w:val="10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67B3C"/>
    <w:pPr>
      <w:keepNext/>
      <w:keepLines/>
      <w:numPr>
        <w:ilvl w:val="8"/>
        <w:numId w:val="10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67B3C"/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8"/>
    </w:rPr>
  </w:style>
  <w:style w:type="character" w:customStyle="1" w:styleId="Naslov2Znak">
    <w:name w:val="Naslov 2 Znak"/>
    <w:basedOn w:val="Privzetapisavaodstavka"/>
    <w:link w:val="Naslov2"/>
    <w:rsid w:val="00767B3C"/>
    <w:rPr>
      <w:rFonts w:ascii="Times New Roman" w:eastAsiaTheme="majorEastAsia" w:hAnsi="Times New Roman" w:cstheme="majorBidi"/>
      <w:b/>
      <w:bCs/>
      <w:color w:val="808080" w:themeColor="background1" w:themeShade="80"/>
      <w:sz w:val="28"/>
      <w:szCs w:val="26"/>
    </w:rPr>
  </w:style>
  <w:style w:type="character" w:customStyle="1" w:styleId="Naslov3Znak">
    <w:name w:val="Naslov 3 Znak"/>
    <w:basedOn w:val="Privzetapisavaodstavka"/>
    <w:link w:val="Naslov3"/>
    <w:rsid w:val="00767B3C"/>
    <w:rPr>
      <w:rFonts w:ascii="Times New Roman" w:eastAsiaTheme="majorEastAsia" w:hAnsi="Times New Roman" w:cstheme="majorBidi"/>
      <w:b/>
      <w:bCs/>
      <w:color w:val="808080" w:themeColor="background1" w:themeShade="80"/>
      <w:sz w:val="24"/>
    </w:rPr>
  </w:style>
  <w:style w:type="character" w:customStyle="1" w:styleId="Naslov4Znak">
    <w:name w:val="Naslov 4 Znak"/>
    <w:basedOn w:val="Privzetapisavaodstavka"/>
    <w:link w:val="Naslov4"/>
    <w:uiPriority w:val="9"/>
    <w:rsid w:val="00767B3C"/>
    <w:rPr>
      <w:rFonts w:ascii="Times New Roman" w:eastAsiaTheme="majorEastAsia" w:hAnsi="Times New Roman" w:cstheme="majorBidi"/>
      <w:b/>
      <w:bCs/>
      <w:iCs/>
      <w:color w:val="7F7F7F" w:themeColor="text1" w:themeTint="80"/>
      <w:sz w:val="24"/>
    </w:rPr>
  </w:style>
  <w:style w:type="character" w:customStyle="1" w:styleId="Naslov5Znak">
    <w:name w:val="Naslov 5 Znak"/>
    <w:basedOn w:val="Privzetapisavaodstavka"/>
    <w:link w:val="Naslov5"/>
    <w:uiPriority w:val="9"/>
    <w:rsid w:val="00767B3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slov6Znak">
    <w:name w:val="Naslov 6 Znak"/>
    <w:basedOn w:val="Privzetapisavaodstavka"/>
    <w:link w:val="Naslov6"/>
    <w:uiPriority w:val="9"/>
    <w:rsid w:val="00767B3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slov7Znak">
    <w:name w:val="Naslov 7 Znak"/>
    <w:basedOn w:val="Privzetapisavaodstavka"/>
    <w:link w:val="Naslov7"/>
    <w:uiPriority w:val="9"/>
    <w:rsid w:val="00767B3C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slov8Znak">
    <w:name w:val="Naslov 8 Znak"/>
    <w:basedOn w:val="Privzetapisavaodstavka"/>
    <w:link w:val="Naslov8"/>
    <w:uiPriority w:val="9"/>
    <w:rsid w:val="00767B3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767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amrea">
    <w:name w:val="Table Grid"/>
    <w:basedOn w:val="Navadnatabela"/>
    <w:uiPriority w:val="59"/>
    <w:rsid w:val="0076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767B3C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color w:val="808080" w:themeColor="background1" w:themeShade="80"/>
      <w:sz w:val="24"/>
    </w:rPr>
  </w:style>
  <w:style w:type="character" w:customStyle="1" w:styleId="NogaZnak">
    <w:name w:val="Noga Znak"/>
    <w:basedOn w:val="Privzetapisavaodstavka"/>
    <w:link w:val="Noga"/>
    <w:uiPriority w:val="99"/>
    <w:rsid w:val="00767B3C"/>
    <w:rPr>
      <w:rFonts w:ascii="Times New Roman" w:hAnsi="Times New Roman"/>
      <w:color w:val="808080" w:themeColor="background1" w:themeShade="80"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7B3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767B3C"/>
    <w:pPr>
      <w:spacing w:after="0" w:line="360" w:lineRule="auto"/>
      <w:ind w:left="720"/>
      <w:contextualSpacing/>
      <w:jc w:val="both"/>
    </w:pPr>
    <w:rPr>
      <w:rFonts w:ascii="Times New Roman" w:hAnsi="Times New Roman"/>
      <w:color w:val="808080" w:themeColor="background1" w:themeShade="80"/>
      <w:sz w:val="24"/>
    </w:rPr>
  </w:style>
  <w:style w:type="table" w:customStyle="1" w:styleId="TableNormal">
    <w:name w:val="Table Normal"/>
    <w:uiPriority w:val="2"/>
    <w:semiHidden/>
    <w:unhideWhenUsed/>
    <w:qFormat/>
    <w:rsid w:val="00767B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767B3C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Times New Roman"/>
      <w:lang w:val="sl" w:eastAsia="sl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67B3C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67B3C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767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3-21-0433" TargetMode="External"/><Relationship Id="rId18" Type="http://schemas.openxmlformats.org/officeDocument/2006/relationships/hyperlink" Target="http://www.uradni-list.si/1/objava.jsp?urlid=200230&amp;stevilka=1253" TargetMode="External"/><Relationship Id="rId26" Type="http://schemas.openxmlformats.org/officeDocument/2006/relationships/hyperlink" Target="http://www.uradni-list.si/1/objava.jsp?urlid=2008124&amp;stevilka=5629" TargetMode="External"/><Relationship Id="rId39" Type="http://schemas.openxmlformats.org/officeDocument/2006/relationships/hyperlink" Target="http://www.uradni-list.si/1/objava.jsp?sop=2013-01-3549" TargetMode="External"/><Relationship Id="rId21" Type="http://schemas.openxmlformats.org/officeDocument/2006/relationships/hyperlink" Target="http://www.uradni-list.si/1/objava.jsp?urlid=2002115&amp;stevilka=5618" TargetMode="External"/><Relationship Id="rId34" Type="http://schemas.openxmlformats.org/officeDocument/2006/relationships/hyperlink" Target="http://www.uradni-list.si/1/objava.jsp?sop=2013-01-1756" TargetMode="External"/><Relationship Id="rId42" Type="http://schemas.openxmlformats.org/officeDocument/2006/relationships/hyperlink" Target="http://www.uradni-list.si/1/objava.jsp?sop=2013-01-3887" TargetMode="External"/><Relationship Id="rId47" Type="http://schemas.openxmlformats.org/officeDocument/2006/relationships/hyperlink" Target="http://www.uradni-list.si/1/objava.jsp?sop=2015-01-4084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3772" TargetMode="External"/><Relationship Id="rId29" Type="http://schemas.openxmlformats.org/officeDocument/2006/relationships/hyperlink" Target="http://www.uradni-list.si/1/objava.jsp?sop=2012-01-1700" TargetMode="External"/><Relationship Id="rId11" Type="http://schemas.openxmlformats.org/officeDocument/2006/relationships/footer" Target="footer1.xml"/><Relationship Id="rId24" Type="http://schemas.openxmlformats.org/officeDocument/2006/relationships/hyperlink" Target="http://www.uradni-list.si/1/objava.jsp?urlid=2004126&amp;stevilka=5287" TargetMode="External"/><Relationship Id="rId32" Type="http://schemas.openxmlformats.org/officeDocument/2006/relationships/hyperlink" Target="http://www.uradni-list.si/1/objava.jsp?sop=2012-01-4001" TargetMode="External"/><Relationship Id="rId37" Type="http://schemas.openxmlformats.org/officeDocument/2006/relationships/hyperlink" Target="http://www.uradni-list.si/1/objava.jsp?sop=2013-01-2520" TargetMode="External"/><Relationship Id="rId40" Type="http://schemas.openxmlformats.org/officeDocument/2006/relationships/hyperlink" Target="http://www.uradni-list.si/1/objava.jsp?sop=2013-01-3675" TargetMode="External"/><Relationship Id="rId45" Type="http://schemas.openxmlformats.org/officeDocument/2006/relationships/hyperlink" Target="http://www.uradni-list.si/1/objava.jsp?sop=2015-01-10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5-01-2277" TargetMode="External"/><Relationship Id="rId23" Type="http://schemas.openxmlformats.org/officeDocument/2006/relationships/hyperlink" Target="http://www.uradni-list.si/1/objava.jsp?urlid=2003134&amp;stevilka=5843" TargetMode="External"/><Relationship Id="rId28" Type="http://schemas.openxmlformats.org/officeDocument/2006/relationships/hyperlink" Target="http://www.uradni-list.si/1/objava.jsp?urlid=2013108&amp;stevilka=3958" TargetMode="External"/><Relationship Id="rId36" Type="http://schemas.openxmlformats.org/officeDocument/2006/relationships/hyperlink" Target="http://www.uradni-list.si/1/objava.jsp?sop=2013-01-2519" TargetMode="External"/><Relationship Id="rId49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://www.uradni-list.si/1/objava.jsp?urlid=2006114&amp;stevilka=4831" TargetMode="External"/><Relationship Id="rId31" Type="http://schemas.openxmlformats.org/officeDocument/2006/relationships/hyperlink" Target="http://www.uradni-list.si/1/objava.jsp?sop=2012-01-3990" TargetMode="External"/><Relationship Id="rId44" Type="http://schemas.openxmlformats.org/officeDocument/2006/relationships/hyperlink" Target="http://www.uradni-list.si/1/objava.jsp?sop=2014-01-395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radni-list.si/1/objava.jsp?sop=2013-01-3677" TargetMode="External"/><Relationship Id="rId22" Type="http://schemas.openxmlformats.org/officeDocument/2006/relationships/hyperlink" Target="http://www.uradni-list.si/1/objava.jsp?urlid=200321&amp;stevilka=825" TargetMode="External"/><Relationship Id="rId27" Type="http://schemas.openxmlformats.org/officeDocument/2006/relationships/hyperlink" Target="http://www.uradni-list.si/1/objava.jsp?urlid=2013108&amp;stevilka=3958" TargetMode="External"/><Relationship Id="rId30" Type="http://schemas.openxmlformats.org/officeDocument/2006/relationships/hyperlink" Target="http://www.uradni-list.si/1/objava.jsp?sop=2012-01-3693" TargetMode="External"/><Relationship Id="rId35" Type="http://schemas.openxmlformats.org/officeDocument/2006/relationships/hyperlink" Target="http://www.uradni-list.si/1/objava.jsp?sop=2013-01-2139" TargetMode="External"/><Relationship Id="rId43" Type="http://schemas.openxmlformats.org/officeDocument/2006/relationships/hyperlink" Target="http://www.uradni-list.si/1/objava.jsp?sop=2014-01-3442" TargetMode="External"/><Relationship Id="rId48" Type="http://schemas.openxmlformats.org/officeDocument/2006/relationships/hyperlink" Target="http://www.uradni-list.si/1/content?id=124039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uradni-list.si/1/objava.jsp?sop=2011-01-0449" TargetMode="External"/><Relationship Id="rId17" Type="http://schemas.openxmlformats.org/officeDocument/2006/relationships/hyperlink" Target="http://www.uradni-list.si/1/objava.jsp?urlid=199923&amp;stevilka=1032" TargetMode="External"/><Relationship Id="rId25" Type="http://schemas.openxmlformats.org/officeDocument/2006/relationships/hyperlink" Target="http://www.uradni-list.si/1/objava.jsp?urlid=2007120&amp;stevilka=6089" TargetMode="External"/><Relationship Id="rId33" Type="http://schemas.openxmlformats.org/officeDocument/2006/relationships/hyperlink" Target="http://www.uradni-list.si/1/objava.jsp?sop=2013-01-0892" TargetMode="External"/><Relationship Id="rId38" Type="http://schemas.openxmlformats.org/officeDocument/2006/relationships/hyperlink" Target="http://www.uradni-list.si/1/objava.jsp?sop=2013-01-3548" TargetMode="External"/><Relationship Id="rId46" Type="http://schemas.openxmlformats.org/officeDocument/2006/relationships/hyperlink" Target="http://www.uradni-list.si/1/objava.jsp?sop=2015-01-3504" TargetMode="External"/><Relationship Id="rId20" Type="http://schemas.openxmlformats.org/officeDocument/2006/relationships/hyperlink" Target="http://www.uradni-list.si/1/objava.jsp?urlid=199923&amp;stevilka=1032" TargetMode="External"/><Relationship Id="rId41" Type="http://schemas.openxmlformats.org/officeDocument/2006/relationships/hyperlink" Target="http://www.uradni-list.si/1/objava.jsp?sop=2013-01-367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DAD4-53B6-4F81-88A0-38755EFB7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3441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Knjižnica Šentjur</Company>
  <LinksUpToDate>false</LinksUpToDate>
  <CharactersWithSpaces>23009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Oset</dc:creator>
  <cp:lastModifiedBy>Sonja Martinčič</cp:lastModifiedBy>
  <cp:revision>2</cp:revision>
  <dcterms:created xsi:type="dcterms:W3CDTF">2021-02-19T07:46:00Z</dcterms:created>
  <dcterms:modified xsi:type="dcterms:W3CDTF">2021-02-19T07:46:00Z</dcterms:modified>
</cp:coreProperties>
</file>